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3628A9" w:rsidRPr="002C2D50" w14:paraId="53CF127B" w14:textId="77777777" w:rsidTr="00C62C6B">
        <w:tc>
          <w:tcPr>
            <w:tcW w:w="4508" w:type="dxa"/>
          </w:tcPr>
          <w:p w14:paraId="38601DE5" w14:textId="77777777" w:rsidR="003628A9" w:rsidRPr="002C2D50" w:rsidRDefault="003628A9" w:rsidP="00C62C6B">
            <w:pPr>
              <w:rPr>
                <w:rFonts w:ascii="Arial" w:hAnsi="Arial" w:cs="Arial"/>
                <w:sz w:val="36"/>
                <w:szCs w:val="36"/>
              </w:rPr>
            </w:pPr>
            <w:r>
              <w:rPr>
                <w:rFonts w:ascii="Arial" w:hAnsi="Arial" w:cs="Arial"/>
                <w:sz w:val="36"/>
                <w:szCs w:val="36"/>
              </w:rPr>
              <w:t>Minimum ploegenpremies</w:t>
            </w:r>
          </w:p>
        </w:tc>
        <w:tc>
          <w:tcPr>
            <w:tcW w:w="4508" w:type="dxa"/>
          </w:tcPr>
          <w:p w14:paraId="5A679BC1" w14:textId="77777777" w:rsidR="003628A9" w:rsidRPr="002C2D50" w:rsidRDefault="003628A9" w:rsidP="00C62C6B">
            <w:pPr>
              <w:rPr>
                <w:rFonts w:ascii="Arial" w:hAnsi="Arial" w:cs="Arial"/>
                <w:sz w:val="36"/>
                <w:szCs w:val="36"/>
              </w:rPr>
            </w:pPr>
            <w:r>
              <w:rPr>
                <w:rFonts w:ascii="Arial" w:hAnsi="Arial" w:cs="Arial"/>
                <w:sz w:val="36"/>
                <w:szCs w:val="36"/>
              </w:rPr>
              <w:t xml:space="preserve">Primes </w:t>
            </w:r>
            <w:proofErr w:type="spellStart"/>
            <w:r>
              <w:rPr>
                <w:rFonts w:ascii="Arial" w:hAnsi="Arial" w:cs="Arial"/>
                <w:sz w:val="36"/>
                <w:szCs w:val="36"/>
              </w:rPr>
              <w:t>d’équipes</w:t>
            </w:r>
            <w:proofErr w:type="spellEnd"/>
            <w:r>
              <w:rPr>
                <w:rFonts w:ascii="Arial" w:hAnsi="Arial" w:cs="Arial"/>
                <w:sz w:val="36"/>
                <w:szCs w:val="36"/>
              </w:rPr>
              <w:t xml:space="preserve"> minima</w:t>
            </w:r>
          </w:p>
        </w:tc>
      </w:tr>
      <w:tr w:rsidR="003628A9" w:rsidRPr="00C34F4D" w14:paraId="7B96D2B9" w14:textId="77777777" w:rsidTr="00C62C6B">
        <w:tc>
          <w:tcPr>
            <w:tcW w:w="4508" w:type="dxa"/>
          </w:tcPr>
          <w:p w14:paraId="4A04CA94" w14:textId="44683DD6" w:rsidR="003628A9" w:rsidRPr="002C2D50" w:rsidRDefault="003628A9" w:rsidP="00AD5A30">
            <w:pPr>
              <w:jc w:val="both"/>
              <w:rPr>
                <w:rFonts w:ascii="Arial" w:hAnsi="Arial" w:cs="Arial"/>
                <w:b/>
                <w:bCs/>
              </w:rPr>
            </w:pPr>
            <w:r w:rsidRPr="002C2D50">
              <w:rPr>
                <w:rFonts w:ascii="Arial" w:hAnsi="Arial" w:cs="Arial"/>
                <w:b/>
                <w:bCs/>
              </w:rPr>
              <w:t xml:space="preserve">CAO van </w:t>
            </w:r>
            <w:r>
              <w:rPr>
                <w:rFonts w:ascii="Arial" w:hAnsi="Arial" w:cs="Arial"/>
                <w:b/>
                <w:bCs/>
              </w:rPr>
              <w:t xml:space="preserve">17/09/2019 </w:t>
            </w:r>
            <w:r w:rsidRPr="002C2D50">
              <w:rPr>
                <w:rFonts w:ascii="Arial" w:hAnsi="Arial" w:cs="Arial"/>
                <w:b/>
                <w:bCs/>
              </w:rPr>
              <w:t xml:space="preserve">gesloten in het Paritair Comité voor de scheikundige nijverheid </w:t>
            </w:r>
            <w:r>
              <w:rPr>
                <w:rFonts w:ascii="Arial" w:hAnsi="Arial" w:cs="Arial"/>
                <w:b/>
                <w:bCs/>
              </w:rPr>
              <w:t>betreffende de minimum ploegenpremies</w:t>
            </w:r>
          </w:p>
          <w:p w14:paraId="34DC7E10" w14:textId="77777777" w:rsidR="003628A9" w:rsidRPr="002C2D50" w:rsidRDefault="003628A9" w:rsidP="00AD5A30">
            <w:pPr>
              <w:jc w:val="both"/>
              <w:rPr>
                <w:rFonts w:ascii="Arial" w:hAnsi="Arial" w:cs="Arial"/>
                <w:b/>
                <w:bCs/>
              </w:rPr>
            </w:pPr>
          </w:p>
        </w:tc>
        <w:tc>
          <w:tcPr>
            <w:tcW w:w="4508" w:type="dxa"/>
          </w:tcPr>
          <w:p w14:paraId="09DCEDAE" w14:textId="5542A944" w:rsidR="003628A9" w:rsidRPr="002C2D50" w:rsidRDefault="003628A9" w:rsidP="00AD5A30">
            <w:pPr>
              <w:jc w:val="both"/>
              <w:rPr>
                <w:rFonts w:ascii="Arial" w:hAnsi="Arial" w:cs="Arial"/>
                <w:b/>
                <w:bCs/>
                <w:lang w:val="fr-BE"/>
              </w:rPr>
            </w:pPr>
            <w:r w:rsidRPr="002C2D50">
              <w:rPr>
                <w:rFonts w:ascii="Arial" w:hAnsi="Arial" w:cs="Arial"/>
                <w:b/>
                <w:bCs/>
                <w:lang w:val="fr-BE"/>
              </w:rPr>
              <w:t xml:space="preserve">CCT du </w:t>
            </w:r>
            <w:r>
              <w:rPr>
                <w:rFonts w:ascii="Arial" w:hAnsi="Arial" w:cs="Arial"/>
                <w:b/>
                <w:bCs/>
                <w:lang w:val="fr-BE"/>
              </w:rPr>
              <w:t xml:space="preserve">17/09/2019 relative aux primes d’équipes minima conclue au sein de la Commission Paritaire de l’industrie chimique </w:t>
            </w:r>
          </w:p>
        </w:tc>
      </w:tr>
      <w:tr w:rsidR="003628A9" w:rsidRPr="002C2D50" w14:paraId="33810ABE" w14:textId="77777777" w:rsidTr="00C62C6B">
        <w:tc>
          <w:tcPr>
            <w:tcW w:w="4508" w:type="dxa"/>
          </w:tcPr>
          <w:p w14:paraId="269B9639" w14:textId="45F4D4F8" w:rsidR="003628A9" w:rsidRPr="008D702B" w:rsidRDefault="003628A9" w:rsidP="00AD5A30">
            <w:pPr>
              <w:jc w:val="both"/>
              <w:rPr>
                <w:rFonts w:ascii="Arial" w:hAnsi="Arial" w:cs="Arial"/>
                <w:b/>
                <w:bCs/>
                <w:lang w:val="fr-BE"/>
              </w:rPr>
            </w:pPr>
            <w:r w:rsidRPr="008D702B">
              <w:rPr>
                <w:rFonts w:ascii="Arial" w:hAnsi="Arial" w:cs="Arial"/>
                <w:b/>
                <w:bCs/>
                <w:lang w:val="fr-BE"/>
              </w:rPr>
              <w:t xml:space="preserve">ARTIKEL </w:t>
            </w:r>
            <w:r w:rsidR="00AD5A30">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39DECD91" w14:textId="23BCB42A" w:rsidR="003628A9" w:rsidRPr="008D702B" w:rsidRDefault="003628A9" w:rsidP="00AD5A30">
            <w:pPr>
              <w:jc w:val="both"/>
              <w:rPr>
                <w:rFonts w:ascii="Arial" w:hAnsi="Arial" w:cs="Arial"/>
                <w:b/>
                <w:bCs/>
                <w:lang w:val="fr-BE"/>
              </w:rPr>
            </w:pPr>
            <w:r w:rsidRPr="008D702B">
              <w:rPr>
                <w:rFonts w:ascii="Arial" w:hAnsi="Arial" w:cs="Arial"/>
                <w:b/>
                <w:bCs/>
                <w:lang w:val="fr-BE"/>
              </w:rPr>
              <w:t xml:space="preserve">ARTICLE </w:t>
            </w:r>
            <w:r w:rsidR="00AD5A30">
              <w:rPr>
                <w:rFonts w:ascii="Arial" w:hAnsi="Arial" w:cs="Arial"/>
                <w:b/>
                <w:bCs/>
                <w:lang w:val="fr-BE"/>
              </w:rPr>
              <w:t>1</w:t>
            </w:r>
            <w:r w:rsidR="00AD5A30" w:rsidRPr="00AD5A30">
              <w:rPr>
                <w:rFonts w:ascii="Arial" w:hAnsi="Arial" w:cs="Arial"/>
                <w:b/>
                <w:bCs/>
                <w:vertAlign w:val="superscript"/>
                <w:lang w:val="fr-BE"/>
              </w:rPr>
              <w:t>er</w:t>
            </w:r>
            <w:r w:rsidR="00AD5A30">
              <w:rPr>
                <w:rFonts w:ascii="Arial" w:hAnsi="Arial" w:cs="Arial"/>
                <w:b/>
                <w:bCs/>
                <w:lang w:val="fr-BE"/>
              </w:rPr>
              <w:t xml:space="preserve"> </w:t>
            </w:r>
            <w:r w:rsidRPr="008D702B">
              <w:rPr>
                <w:rFonts w:ascii="Arial" w:hAnsi="Arial" w:cs="Arial"/>
                <w:b/>
                <w:bCs/>
                <w:lang w:val="fr-BE"/>
              </w:rPr>
              <w:t>– Champ d’application</w:t>
            </w:r>
          </w:p>
        </w:tc>
      </w:tr>
      <w:tr w:rsidR="003628A9" w:rsidRPr="00C34F4D" w14:paraId="4D58D7CF" w14:textId="77777777" w:rsidTr="00C62C6B">
        <w:tc>
          <w:tcPr>
            <w:tcW w:w="4508" w:type="dxa"/>
          </w:tcPr>
          <w:p w14:paraId="7885F768" w14:textId="77777777" w:rsidR="003628A9" w:rsidRPr="00E0487B" w:rsidRDefault="003628A9" w:rsidP="00AD5A30">
            <w:pPr>
              <w:pStyle w:val="textebase"/>
              <w:rPr>
                <w:rFonts w:ascii="Arial" w:hAnsi="Arial" w:cs="Arial"/>
                <w:color w:val="auto"/>
                <w:sz w:val="22"/>
                <w:szCs w:val="22"/>
              </w:rPr>
            </w:pPr>
            <w:r w:rsidRPr="00E0487B">
              <w:rPr>
                <w:rFonts w:ascii="Arial" w:hAnsi="Arial" w:cs="Arial"/>
                <w:color w:val="auto"/>
                <w:sz w:val="22"/>
                <w:szCs w:val="22"/>
              </w:rPr>
              <w:t xml:space="preserve">Deze </w:t>
            </w:r>
            <w:r>
              <w:rPr>
                <w:rFonts w:ascii="Arial" w:hAnsi="Arial" w:cs="Arial"/>
                <w:smallCaps/>
                <w:color w:val="auto"/>
                <w:sz w:val="22"/>
                <w:szCs w:val="22"/>
              </w:rPr>
              <w:t>CAO</w:t>
            </w:r>
            <w:r w:rsidRPr="00E0487B">
              <w:rPr>
                <w:rFonts w:ascii="Arial" w:hAnsi="Arial" w:cs="Arial"/>
                <w:color w:val="auto"/>
                <w:sz w:val="22"/>
                <w:szCs w:val="22"/>
              </w:rPr>
              <w:t xml:space="preserve"> is van toepassing op de werkgevers en op de arbeiders</w:t>
            </w:r>
            <w:r>
              <w:rPr>
                <w:rFonts w:ascii="Arial" w:hAnsi="Arial" w:cs="Arial"/>
                <w:color w:val="auto"/>
                <w:sz w:val="22"/>
                <w:szCs w:val="22"/>
              </w:rPr>
              <w:t xml:space="preserve">, </w:t>
            </w:r>
            <w:r w:rsidRPr="00E0487B">
              <w:rPr>
                <w:rFonts w:ascii="Arial" w:hAnsi="Arial" w:cs="Arial"/>
                <w:color w:val="auto"/>
                <w:sz w:val="22"/>
                <w:szCs w:val="22"/>
              </w:rPr>
              <w:t>hierna “de werknemer(s)” genoemd</w:t>
            </w:r>
            <w:r>
              <w:rPr>
                <w:rFonts w:ascii="Arial" w:hAnsi="Arial" w:cs="Arial"/>
                <w:color w:val="auto"/>
                <w:sz w:val="22"/>
                <w:szCs w:val="22"/>
              </w:rPr>
              <w:t>,</w:t>
            </w:r>
            <w:r w:rsidRPr="00E0487B">
              <w:rPr>
                <w:rFonts w:ascii="Arial" w:hAnsi="Arial" w:cs="Arial"/>
                <w:color w:val="auto"/>
                <w:sz w:val="22"/>
                <w:szCs w:val="22"/>
              </w:rPr>
              <w:t xml:space="preserve"> van de ondernemingen welke ressorteren onder het Paritair Comité voor de scheikundige nijverheid.</w:t>
            </w:r>
          </w:p>
          <w:p w14:paraId="46714F8F" w14:textId="77777777" w:rsidR="003628A9" w:rsidRPr="00E0487B" w:rsidRDefault="003628A9" w:rsidP="00AD5A30">
            <w:pPr>
              <w:pStyle w:val="textebase"/>
              <w:rPr>
                <w:rFonts w:ascii="Arial" w:hAnsi="Arial" w:cs="Arial"/>
                <w:color w:val="auto"/>
                <w:sz w:val="22"/>
                <w:szCs w:val="22"/>
              </w:rPr>
            </w:pPr>
          </w:p>
          <w:p w14:paraId="040607AE" w14:textId="77777777" w:rsidR="003628A9" w:rsidRDefault="003628A9" w:rsidP="00AD5A30">
            <w:pPr>
              <w:pStyle w:val="textebase"/>
              <w:rPr>
                <w:rFonts w:ascii="Arial" w:hAnsi="Arial" w:cs="Arial"/>
                <w:color w:val="auto"/>
                <w:sz w:val="22"/>
                <w:szCs w:val="22"/>
              </w:rPr>
            </w:pPr>
            <w:r w:rsidRPr="00E0487B">
              <w:rPr>
                <w:rFonts w:ascii="Arial" w:hAnsi="Arial" w:cs="Arial"/>
                <w:color w:val="auto"/>
                <w:sz w:val="22"/>
                <w:szCs w:val="22"/>
              </w:rPr>
              <w:t xml:space="preserve">Met “werknemers” wordt verstaan: de mannelijke en vrouwelijke werknemers. </w:t>
            </w:r>
          </w:p>
          <w:p w14:paraId="766152CF" w14:textId="77777777" w:rsidR="003628A9" w:rsidRPr="008D702B" w:rsidRDefault="003628A9" w:rsidP="00AD5A30">
            <w:pPr>
              <w:pStyle w:val="textebase"/>
              <w:rPr>
                <w:rFonts w:ascii="Arial" w:hAnsi="Arial" w:cs="Arial"/>
              </w:rPr>
            </w:pPr>
          </w:p>
        </w:tc>
        <w:tc>
          <w:tcPr>
            <w:tcW w:w="4508" w:type="dxa"/>
          </w:tcPr>
          <w:p w14:paraId="0EB2BCAC" w14:textId="1E42EBB8" w:rsidR="003628A9" w:rsidRPr="00E0487B" w:rsidRDefault="003628A9" w:rsidP="00AD5A3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0487B">
              <w:rPr>
                <w:rFonts w:ascii="Arial" w:hAnsi="Arial" w:cs="Arial"/>
                <w:spacing w:val="-1"/>
                <w:lang w:val="fr-BE"/>
              </w:rPr>
              <w:t xml:space="preserve">La présente </w:t>
            </w:r>
            <w:r>
              <w:rPr>
                <w:rFonts w:ascii="Arial" w:hAnsi="Arial" w:cs="Arial"/>
                <w:smallCaps/>
                <w:spacing w:val="-1"/>
                <w:lang w:val="fr-BE"/>
              </w:rPr>
              <w:t>CCT</w:t>
            </w:r>
            <w:r w:rsidRPr="00E0487B">
              <w:rPr>
                <w:rFonts w:ascii="Arial" w:hAnsi="Arial" w:cs="Arial"/>
                <w:spacing w:val="-1"/>
                <w:lang w:val="fr-BE"/>
              </w:rPr>
              <w:t xml:space="preserve"> s’applique aux employeurs et aux ouvriers</w:t>
            </w:r>
            <w:r>
              <w:rPr>
                <w:rFonts w:ascii="Arial" w:hAnsi="Arial" w:cs="Arial"/>
                <w:spacing w:val="-1"/>
                <w:lang w:val="fr-BE"/>
              </w:rPr>
              <w:t xml:space="preserve">, </w:t>
            </w:r>
            <w:r w:rsidRPr="00E0487B">
              <w:rPr>
                <w:rFonts w:ascii="Arial" w:hAnsi="Arial" w:cs="Arial"/>
                <w:spacing w:val="-1"/>
                <w:lang w:val="fr-BE"/>
              </w:rPr>
              <w:t>ci-après dénommé(s) «</w:t>
            </w:r>
            <w:r w:rsidR="008E2DAA">
              <w:rPr>
                <w:rFonts w:ascii="Arial" w:hAnsi="Arial" w:cs="Arial"/>
                <w:spacing w:val="-1"/>
                <w:lang w:val="fr-BE"/>
              </w:rPr>
              <w:t xml:space="preserve"> </w:t>
            </w:r>
            <w:r w:rsidRPr="00E0487B">
              <w:rPr>
                <w:rFonts w:ascii="Arial" w:hAnsi="Arial" w:cs="Arial"/>
                <w:spacing w:val="-1"/>
                <w:lang w:val="fr-BE"/>
              </w:rPr>
              <w:t>le(s) travailleur(s)</w:t>
            </w:r>
            <w:r w:rsidR="008E2DAA">
              <w:rPr>
                <w:rFonts w:ascii="Arial" w:hAnsi="Arial" w:cs="Arial"/>
                <w:spacing w:val="-1"/>
                <w:lang w:val="fr-BE"/>
              </w:rPr>
              <w:t xml:space="preserve"> </w:t>
            </w:r>
            <w:r w:rsidRPr="00E0487B">
              <w:rPr>
                <w:rFonts w:ascii="Arial" w:hAnsi="Arial" w:cs="Arial"/>
                <w:spacing w:val="-1"/>
                <w:lang w:val="fr-BE"/>
              </w:rPr>
              <w:t xml:space="preserve">» des entreprises ressortissant à la Commission Paritaire de l’industrie chimique. </w:t>
            </w:r>
          </w:p>
          <w:p w14:paraId="79FCD47E" w14:textId="77777777" w:rsidR="003628A9" w:rsidRPr="00E0487B" w:rsidRDefault="003628A9" w:rsidP="00AD5A30">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7370E6F2" w14:textId="76DF5624" w:rsidR="003628A9" w:rsidRPr="008D702B" w:rsidRDefault="003628A9" w:rsidP="00AD5A30">
            <w:pPr>
              <w:jc w:val="both"/>
              <w:rPr>
                <w:rFonts w:ascii="Arial" w:hAnsi="Arial" w:cs="Arial"/>
                <w:lang w:val="fr-BE"/>
              </w:rPr>
            </w:pPr>
            <w:r w:rsidRPr="00E0487B">
              <w:rPr>
                <w:rFonts w:ascii="Arial" w:hAnsi="Arial" w:cs="Arial"/>
                <w:lang w:val="fr-BE"/>
              </w:rPr>
              <w:t>Par «</w:t>
            </w:r>
            <w:r w:rsidR="008E2DAA">
              <w:rPr>
                <w:rFonts w:ascii="Arial" w:hAnsi="Arial" w:cs="Arial"/>
                <w:lang w:val="fr-BE"/>
              </w:rPr>
              <w:t xml:space="preserve"> </w:t>
            </w:r>
            <w:r w:rsidRPr="00E0487B">
              <w:rPr>
                <w:rFonts w:ascii="Arial" w:hAnsi="Arial" w:cs="Arial"/>
                <w:lang w:val="fr-BE"/>
              </w:rPr>
              <w:t>travailleurs</w:t>
            </w:r>
            <w:r w:rsidR="008E2DAA">
              <w:rPr>
                <w:rFonts w:ascii="Arial" w:hAnsi="Arial" w:cs="Arial"/>
                <w:lang w:val="fr-BE"/>
              </w:rPr>
              <w:t xml:space="preserve"> </w:t>
            </w:r>
            <w:r w:rsidRPr="00E0487B">
              <w:rPr>
                <w:rFonts w:ascii="Arial" w:hAnsi="Arial" w:cs="Arial"/>
                <w:lang w:val="fr-BE"/>
              </w:rPr>
              <w:t>», sont visés les travailleurs masculins et féminins.</w:t>
            </w:r>
          </w:p>
        </w:tc>
      </w:tr>
      <w:tr w:rsidR="003628A9" w:rsidRPr="008D702B" w14:paraId="3CB8FF7D" w14:textId="77777777" w:rsidTr="00C62C6B">
        <w:tc>
          <w:tcPr>
            <w:tcW w:w="4508" w:type="dxa"/>
          </w:tcPr>
          <w:p w14:paraId="645C10D1" w14:textId="6CF63F0F" w:rsidR="003628A9" w:rsidRPr="008D702B" w:rsidRDefault="003628A9" w:rsidP="00AD5A30">
            <w:pPr>
              <w:jc w:val="both"/>
              <w:rPr>
                <w:rFonts w:ascii="Arial" w:hAnsi="Arial" w:cs="Arial"/>
                <w:b/>
                <w:bCs/>
                <w:lang w:val="fr-BE"/>
              </w:rPr>
            </w:pPr>
            <w:r w:rsidRPr="008D702B">
              <w:rPr>
                <w:rFonts w:ascii="Arial" w:hAnsi="Arial" w:cs="Arial"/>
                <w:b/>
                <w:bCs/>
                <w:lang w:val="fr-BE"/>
              </w:rPr>
              <w:t xml:space="preserve">ARTIKEL </w:t>
            </w:r>
            <w:r w:rsidR="00AD5A30">
              <w:rPr>
                <w:rFonts w:ascii="Arial" w:hAnsi="Arial" w:cs="Arial"/>
                <w:b/>
                <w:bCs/>
                <w:lang w:val="fr-BE"/>
              </w:rPr>
              <w:t>2</w:t>
            </w:r>
          </w:p>
        </w:tc>
        <w:tc>
          <w:tcPr>
            <w:tcW w:w="4508" w:type="dxa"/>
          </w:tcPr>
          <w:p w14:paraId="3AFDFBFD" w14:textId="1E3A867D" w:rsidR="003628A9" w:rsidRPr="008D702B" w:rsidRDefault="003628A9" w:rsidP="00AD5A30">
            <w:pPr>
              <w:jc w:val="both"/>
              <w:rPr>
                <w:rFonts w:ascii="Arial" w:hAnsi="Arial" w:cs="Arial"/>
                <w:b/>
                <w:bCs/>
                <w:lang w:val="fr-BE"/>
              </w:rPr>
            </w:pPr>
            <w:r w:rsidRPr="008D702B">
              <w:rPr>
                <w:rFonts w:ascii="Arial" w:hAnsi="Arial" w:cs="Arial"/>
                <w:b/>
                <w:bCs/>
                <w:lang w:val="fr-BE"/>
              </w:rPr>
              <w:t xml:space="preserve">ARTICLE </w:t>
            </w:r>
            <w:r w:rsidR="00AD5A30">
              <w:rPr>
                <w:rFonts w:ascii="Arial" w:hAnsi="Arial" w:cs="Arial"/>
                <w:b/>
                <w:bCs/>
                <w:lang w:val="fr-BE"/>
              </w:rPr>
              <w:t>2</w:t>
            </w:r>
          </w:p>
        </w:tc>
      </w:tr>
      <w:tr w:rsidR="003628A9" w:rsidRPr="00C34F4D" w14:paraId="2506B0FD" w14:textId="77777777" w:rsidTr="00C62C6B">
        <w:tc>
          <w:tcPr>
            <w:tcW w:w="4508" w:type="dxa"/>
          </w:tcPr>
          <w:p w14:paraId="202E2B70" w14:textId="77777777" w:rsidR="003628A9" w:rsidRDefault="003628A9" w:rsidP="00AD5A30">
            <w:pPr>
              <w:jc w:val="both"/>
              <w:rPr>
                <w:rFonts w:ascii="Arial" w:eastAsiaTheme="minorEastAsia" w:hAnsi="Arial" w:cs="Arial"/>
                <w:spacing w:val="-1"/>
                <w:lang w:val="nl-NL" w:eastAsia="zh-CN"/>
              </w:rPr>
            </w:pPr>
            <w:r w:rsidRPr="004579C8">
              <w:rPr>
                <w:rFonts w:ascii="Arial" w:eastAsiaTheme="minorEastAsia" w:hAnsi="Arial" w:cs="Arial"/>
                <w:spacing w:val="-1"/>
                <w:lang w:val="nl-NL" w:eastAsia="zh-CN"/>
              </w:rPr>
              <w:t xml:space="preserve">De bedragen van de minimum ploegenpremies zoals voorzien in artikel 2 van de CAO betreffende de minimum ploegenpremies gesloten op 17 mei 2017 in het Paritair Comité voor de scheikundige nijverheid </w:t>
            </w:r>
            <w:r>
              <w:rPr>
                <w:rFonts w:ascii="Arial" w:eastAsiaTheme="minorEastAsia" w:hAnsi="Arial" w:cs="Arial"/>
                <w:spacing w:val="-1"/>
                <w:lang w:val="nl-NL" w:eastAsia="zh-CN"/>
              </w:rPr>
              <w:t>(nr. 1</w:t>
            </w:r>
            <w:r w:rsidRPr="004579C8">
              <w:rPr>
                <w:rFonts w:ascii="Arial" w:eastAsiaTheme="minorEastAsia" w:hAnsi="Arial" w:cs="Arial"/>
                <w:spacing w:val="-1"/>
                <w:lang w:val="nl-NL" w:eastAsia="zh-CN"/>
              </w:rPr>
              <w:t>40253/CO/116</w:t>
            </w:r>
            <w:r>
              <w:rPr>
                <w:rFonts w:ascii="Arial" w:eastAsiaTheme="minorEastAsia" w:hAnsi="Arial" w:cs="Arial"/>
                <w:spacing w:val="-1"/>
                <w:lang w:val="nl-NL" w:eastAsia="zh-CN"/>
              </w:rPr>
              <w:t>), van toepassing op 30 juni 2019, in de 40 uren week , worden vanaf 1 juli 2019 verhoogd met 1,1% bruto.</w:t>
            </w:r>
          </w:p>
          <w:p w14:paraId="2645370A" w14:textId="77777777" w:rsidR="003628A9" w:rsidRDefault="003628A9" w:rsidP="00AD5A30">
            <w:pPr>
              <w:jc w:val="both"/>
              <w:rPr>
                <w:rFonts w:ascii="Arial" w:eastAsiaTheme="minorEastAsia" w:hAnsi="Arial" w:cs="Arial"/>
                <w:spacing w:val="-1"/>
                <w:lang w:val="nl-NL" w:eastAsia="zh-CN"/>
              </w:rPr>
            </w:pPr>
          </w:p>
          <w:p w14:paraId="485D3BD2" w14:textId="77777777" w:rsidR="003628A9" w:rsidRDefault="003628A9" w:rsidP="00AD5A30">
            <w:pPr>
              <w:jc w:val="both"/>
              <w:rPr>
                <w:rFonts w:ascii="Arial" w:eastAsiaTheme="minorEastAsia" w:hAnsi="Arial" w:cs="Arial"/>
                <w:spacing w:val="-1"/>
                <w:lang w:val="nl-NL" w:eastAsia="zh-CN"/>
              </w:rPr>
            </w:pPr>
            <w:r>
              <w:rPr>
                <w:rFonts w:ascii="Arial" w:eastAsiaTheme="minorEastAsia" w:hAnsi="Arial" w:cs="Arial"/>
                <w:spacing w:val="-1"/>
                <w:lang w:val="nl-NL" w:eastAsia="zh-CN"/>
              </w:rPr>
              <w:t>De minimum ploegenpremies bedragen op 1 juli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1097"/>
            </w:tblGrid>
            <w:tr w:rsidR="003628A9" w14:paraId="38A65741" w14:textId="77777777" w:rsidTr="00C62C6B">
              <w:tc>
                <w:tcPr>
                  <w:tcW w:w="2465" w:type="dxa"/>
                </w:tcPr>
                <w:p w14:paraId="3BCCC22D" w14:textId="77777777" w:rsidR="003628A9" w:rsidRDefault="003628A9" w:rsidP="00AD5A30">
                  <w:pPr>
                    <w:pStyle w:val="ListParagraph"/>
                    <w:numPr>
                      <w:ilvl w:val="0"/>
                      <w:numId w:val="1"/>
                    </w:numPr>
                    <w:jc w:val="both"/>
                    <w:rPr>
                      <w:rFonts w:ascii="Arial" w:eastAsiaTheme="minorEastAsia" w:hAnsi="Arial" w:cs="Arial"/>
                      <w:spacing w:val="-1"/>
                      <w:lang w:val="nl-NL" w:eastAsia="zh-CN"/>
                    </w:rPr>
                  </w:pPr>
                  <w:r>
                    <w:rPr>
                      <w:rFonts w:ascii="Arial" w:eastAsiaTheme="minorEastAsia" w:hAnsi="Arial" w:cs="Arial"/>
                      <w:spacing w:val="-1"/>
                      <w:lang w:val="nl-NL" w:eastAsia="zh-CN"/>
                    </w:rPr>
                    <w:t>Morgenploeg:</w:t>
                  </w:r>
                </w:p>
              </w:tc>
              <w:tc>
                <w:tcPr>
                  <w:tcW w:w="1097" w:type="dxa"/>
                </w:tcPr>
                <w:p w14:paraId="39421EDA" w14:textId="56506D0E" w:rsidR="003628A9" w:rsidRPr="004579C8" w:rsidRDefault="003628A9" w:rsidP="00AD5A30">
                  <w:pPr>
                    <w:jc w:val="both"/>
                    <w:rPr>
                      <w:rFonts w:ascii="Arial" w:eastAsiaTheme="minorEastAsia" w:hAnsi="Arial" w:cs="Arial"/>
                      <w:spacing w:val="-1"/>
                      <w:lang w:val="nl-NL" w:eastAsia="zh-CN"/>
                    </w:rPr>
                  </w:pPr>
                  <w:r>
                    <w:rPr>
                      <w:rFonts w:ascii="Arial" w:eastAsiaTheme="minorEastAsia" w:hAnsi="Arial" w:cs="Arial"/>
                      <w:spacing w:val="-1"/>
                      <w:lang w:val="nl-NL" w:eastAsia="zh-CN"/>
                    </w:rPr>
                    <w:t>€</w:t>
                  </w:r>
                  <w:r w:rsidR="00392270">
                    <w:rPr>
                      <w:rFonts w:ascii="Arial" w:eastAsiaTheme="minorEastAsia" w:hAnsi="Arial" w:cs="Arial"/>
                      <w:spacing w:val="-1"/>
                      <w:lang w:val="nl-NL" w:eastAsia="zh-CN"/>
                    </w:rPr>
                    <w:t xml:space="preserve"> 0,6978</w:t>
                  </w:r>
                </w:p>
              </w:tc>
            </w:tr>
            <w:tr w:rsidR="003628A9" w14:paraId="32C4A53F" w14:textId="77777777" w:rsidTr="00C62C6B">
              <w:tc>
                <w:tcPr>
                  <w:tcW w:w="2465" w:type="dxa"/>
                </w:tcPr>
                <w:p w14:paraId="606E2C15" w14:textId="77777777" w:rsidR="003628A9" w:rsidRDefault="003628A9" w:rsidP="00AD5A30">
                  <w:pPr>
                    <w:pStyle w:val="ListParagraph"/>
                    <w:numPr>
                      <w:ilvl w:val="0"/>
                      <w:numId w:val="1"/>
                    </w:numPr>
                    <w:jc w:val="both"/>
                    <w:rPr>
                      <w:rFonts w:ascii="Arial" w:eastAsiaTheme="minorEastAsia" w:hAnsi="Arial" w:cs="Arial"/>
                      <w:spacing w:val="-1"/>
                      <w:lang w:val="nl-NL" w:eastAsia="zh-CN"/>
                    </w:rPr>
                  </w:pPr>
                  <w:r>
                    <w:rPr>
                      <w:rFonts w:ascii="Arial" w:eastAsiaTheme="minorEastAsia" w:hAnsi="Arial" w:cs="Arial"/>
                      <w:spacing w:val="-1"/>
                      <w:lang w:val="nl-NL" w:eastAsia="zh-CN"/>
                    </w:rPr>
                    <w:t>Namiddagploeg:</w:t>
                  </w:r>
                </w:p>
              </w:tc>
              <w:tc>
                <w:tcPr>
                  <w:tcW w:w="1097" w:type="dxa"/>
                </w:tcPr>
                <w:p w14:paraId="7D9E08CD" w14:textId="0A7C3BB2" w:rsidR="003628A9" w:rsidRDefault="003628A9" w:rsidP="00AD5A30">
                  <w:pPr>
                    <w:pStyle w:val="ListParagraph"/>
                    <w:ind w:left="0"/>
                    <w:jc w:val="both"/>
                    <w:rPr>
                      <w:rFonts w:ascii="Arial" w:eastAsiaTheme="minorEastAsia" w:hAnsi="Arial" w:cs="Arial"/>
                      <w:spacing w:val="-1"/>
                      <w:lang w:val="nl-NL" w:eastAsia="zh-CN"/>
                    </w:rPr>
                  </w:pPr>
                  <w:r>
                    <w:rPr>
                      <w:rFonts w:ascii="Arial" w:eastAsiaTheme="minorEastAsia" w:hAnsi="Arial" w:cs="Arial"/>
                      <w:spacing w:val="-1"/>
                      <w:lang w:val="nl-NL" w:eastAsia="zh-CN"/>
                    </w:rPr>
                    <w:t>€</w:t>
                  </w:r>
                  <w:r w:rsidR="00912022">
                    <w:rPr>
                      <w:rFonts w:ascii="Arial" w:eastAsiaTheme="minorEastAsia" w:hAnsi="Arial" w:cs="Arial"/>
                      <w:spacing w:val="-1"/>
                      <w:lang w:val="nl-NL" w:eastAsia="zh-CN"/>
                    </w:rPr>
                    <w:t xml:space="preserve"> 0,6</w:t>
                  </w:r>
                  <w:r w:rsidR="00392270">
                    <w:rPr>
                      <w:rFonts w:ascii="Arial" w:eastAsiaTheme="minorEastAsia" w:hAnsi="Arial" w:cs="Arial"/>
                      <w:spacing w:val="-1"/>
                      <w:lang w:val="nl-NL" w:eastAsia="zh-CN"/>
                    </w:rPr>
                    <w:t>978</w:t>
                  </w:r>
                </w:p>
              </w:tc>
            </w:tr>
            <w:tr w:rsidR="003628A9" w14:paraId="4551A359" w14:textId="77777777" w:rsidTr="00C62C6B">
              <w:tc>
                <w:tcPr>
                  <w:tcW w:w="2465" w:type="dxa"/>
                </w:tcPr>
                <w:p w14:paraId="3D0436A2" w14:textId="77777777" w:rsidR="003628A9" w:rsidRDefault="003628A9" w:rsidP="00AD5A30">
                  <w:pPr>
                    <w:pStyle w:val="ListParagraph"/>
                    <w:numPr>
                      <w:ilvl w:val="0"/>
                      <w:numId w:val="1"/>
                    </w:numPr>
                    <w:jc w:val="both"/>
                    <w:rPr>
                      <w:rFonts w:ascii="Arial" w:eastAsiaTheme="minorEastAsia" w:hAnsi="Arial" w:cs="Arial"/>
                      <w:spacing w:val="-1"/>
                      <w:lang w:val="nl-NL" w:eastAsia="zh-CN"/>
                    </w:rPr>
                  </w:pPr>
                  <w:r>
                    <w:rPr>
                      <w:rFonts w:ascii="Arial" w:eastAsiaTheme="minorEastAsia" w:hAnsi="Arial" w:cs="Arial"/>
                      <w:spacing w:val="-1"/>
                      <w:lang w:val="nl-NL" w:eastAsia="zh-CN"/>
                    </w:rPr>
                    <w:t>Nachtploeg:</w:t>
                  </w:r>
                </w:p>
              </w:tc>
              <w:tc>
                <w:tcPr>
                  <w:tcW w:w="1097" w:type="dxa"/>
                </w:tcPr>
                <w:p w14:paraId="65B0A909" w14:textId="187B4C11" w:rsidR="003628A9" w:rsidRDefault="003628A9" w:rsidP="00AD5A30">
                  <w:pPr>
                    <w:pStyle w:val="ListParagraph"/>
                    <w:ind w:left="0"/>
                    <w:jc w:val="both"/>
                    <w:rPr>
                      <w:rFonts w:ascii="Arial" w:eastAsiaTheme="minorEastAsia" w:hAnsi="Arial" w:cs="Arial"/>
                      <w:spacing w:val="-1"/>
                      <w:lang w:val="nl-NL" w:eastAsia="zh-CN"/>
                    </w:rPr>
                  </w:pPr>
                  <w:r>
                    <w:rPr>
                      <w:rFonts w:ascii="Arial" w:eastAsiaTheme="minorEastAsia" w:hAnsi="Arial" w:cs="Arial"/>
                      <w:spacing w:val="-1"/>
                      <w:lang w:val="nl-NL" w:eastAsia="zh-CN"/>
                    </w:rPr>
                    <w:t>€</w:t>
                  </w:r>
                  <w:r w:rsidR="00912022">
                    <w:rPr>
                      <w:rFonts w:ascii="Arial" w:eastAsiaTheme="minorEastAsia" w:hAnsi="Arial" w:cs="Arial"/>
                      <w:spacing w:val="-1"/>
                      <w:lang w:val="nl-NL" w:eastAsia="zh-CN"/>
                    </w:rPr>
                    <w:t xml:space="preserve"> 2</w:t>
                  </w:r>
                  <w:r w:rsidR="00392270">
                    <w:rPr>
                      <w:rFonts w:ascii="Arial" w:eastAsiaTheme="minorEastAsia" w:hAnsi="Arial" w:cs="Arial"/>
                      <w:spacing w:val="-1"/>
                      <w:lang w:val="nl-NL" w:eastAsia="zh-CN"/>
                    </w:rPr>
                    <w:t>,3448</w:t>
                  </w:r>
                </w:p>
              </w:tc>
            </w:tr>
          </w:tbl>
          <w:p w14:paraId="67F46871" w14:textId="77777777" w:rsidR="003628A9" w:rsidRDefault="003628A9" w:rsidP="00AD5A30">
            <w:pPr>
              <w:jc w:val="both"/>
              <w:rPr>
                <w:rFonts w:ascii="Arial" w:eastAsiaTheme="minorEastAsia" w:hAnsi="Arial" w:cs="Arial"/>
                <w:spacing w:val="-1"/>
                <w:lang w:val="nl-NL" w:eastAsia="zh-CN"/>
              </w:rPr>
            </w:pPr>
          </w:p>
          <w:p w14:paraId="2657B276" w14:textId="77777777" w:rsidR="003628A9" w:rsidRPr="004579C8" w:rsidRDefault="003628A9" w:rsidP="00AD5A30">
            <w:pPr>
              <w:jc w:val="both"/>
              <w:rPr>
                <w:rFonts w:ascii="Arial" w:eastAsiaTheme="minorEastAsia" w:hAnsi="Arial" w:cs="Arial"/>
                <w:spacing w:val="-1"/>
                <w:lang w:val="nl-NL" w:eastAsia="zh-CN"/>
              </w:rPr>
            </w:pPr>
            <w:r>
              <w:rPr>
                <w:rFonts w:ascii="Arial" w:eastAsiaTheme="minorEastAsia" w:hAnsi="Arial" w:cs="Arial"/>
                <w:spacing w:val="-1"/>
                <w:lang w:val="nl-NL" w:eastAsia="zh-CN"/>
              </w:rPr>
              <w:t>De afronding zal gebeuren volgens artikel 4 van deze CAO.</w:t>
            </w:r>
          </w:p>
          <w:p w14:paraId="0D661291" w14:textId="77777777" w:rsidR="003628A9" w:rsidRDefault="003628A9" w:rsidP="00AD5A30">
            <w:pPr>
              <w:jc w:val="both"/>
              <w:rPr>
                <w:rFonts w:ascii="Arial" w:hAnsi="Arial" w:cs="Arial"/>
              </w:rPr>
            </w:pPr>
          </w:p>
          <w:p w14:paraId="1FE2F2E9" w14:textId="77777777" w:rsidR="003628A9" w:rsidRPr="004579C8" w:rsidRDefault="003628A9" w:rsidP="00AD5A30">
            <w:pPr>
              <w:jc w:val="both"/>
              <w:rPr>
                <w:rFonts w:ascii="Arial" w:hAnsi="Arial" w:cs="Arial"/>
              </w:rPr>
            </w:pPr>
          </w:p>
        </w:tc>
        <w:tc>
          <w:tcPr>
            <w:tcW w:w="4508" w:type="dxa"/>
          </w:tcPr>
          <w:p w14:paraId="608D8AE4" w14:textId="15B7F706" w:rsidR="003628A9" w:rsidRDefault="003628A9" w:rsidP="00AD5A30">
            <w:pPr>
              <w:jc w:val="both"/>
              <w:rPr>
                <w:rFonts w:ascii="Arial" w:hAnsi="Arial" w:cs="Arial"/>
                <w:spacing w:val="-1"/>
                <w:lang w:val="fr-FR"/>
              </w:rPr>
            </w:pPr>
            <w:r w:rsidRPr="00002F59">
              <w:rPr>
                <w:rFonts w:ascii="Arial" w:hAnsi="Arial" w:cs="Arial"/>
                <w:lang w:val="fr-BE"/>
              </w:rPr>
              <w:t>Les montants des primes d</w:t>
            </w:r>
            <w:r>
              <w:rPr>
                <w:rFonts w:ascii="Arial" w:hAnsi="Arial" w:cs="Arial"/>
                <w:lang w:val="fr-BE"/>
              </w:rPr>
              <w:t xml:space="preserve">’équipes minima tels que prévus à l’article 2 de la CCT </w:t>
            </w:r>
            <w:r w:rsidRPr="003434BF">
              <w:rPr>
                <w:rFonts w:ascii="Arial" w:hAnsi="Arial" w:cs="Arial"/>
                <w:spacing w:val="-1"/>
                <w:lang w:val="fr-FR"/>
              </w:rPr>
              <w:t xml:space="preserve">conclue le </w:t>
            </w:r>
            <w:r w:rsidR="00955F5D">
              <w:rPr>
                <w:rFonts w:ascii="Arial" w:hAnsi="Arial" w:cs="Arial"/>
                <w:spacing w:val="-1"/>
                <w:lang w:val="fr-FR"/>
              </w:rPr>
              <w:t xml:space="preserve">17 mai 2017 </w:t>
            </w:r>
            <w:r w:rsidRPr="003434BF">
              <w:rPr>
                <w:rFonts w:ascii="Arial" w:hAnsi="Arial" w:cs="Arial"/>
                <w:spacing w:val="-1"/>
                <w:lang w:val="fr-FR"/>
              </w:rPr>
              <w:t xml:space="preserve">au sein de la Commission Paritaire de l’industrie chimique relative </w:t>
            </w:r>
            <w:r>
              <w:rPr>
                <w:rFonts w:ascii="Arial" w:hAnsi="Arial" w:cs="Arial"/>
                <w:spacing w:val="-1"/>
                <w:lang w:val="fr-FR"/>
              </w:rPr>
              <w:t>aux primes d’équipes minima (n° 140253/CO/116), en vigueur le 30 juin 2019, en régime 40 heures par semaine, sont augmentés de</w:t>
            </w:r>
            <w:r w:rsidR="006D6143">
              <w:rPr>
                <w:rFonts w:ascii="Arial" w:hAnsi="Arial" w:cs="Arial"/>
                <w:spacing w:val="-1"/>
                <w:lang w:val="fr-FR"/>
              </w:rPr>
              <w:t xml:space="preserve"> </w:t>
            </w:r>
            <w:r>
              <w:rPr>
                <w:rFonts w:ascii="Arial" w:hAnsi="Arial" w:cs="Arial"/>
                <w:spacing w:val="-1"/>
                <w:lang w:val="fr-FR"/>
              </w:rPr>
              <w:t>1,1% à partir du 1</w:t>
            </w:r>
            <w:r w:rsidRPr="00B36EF7">
              <w:rPr>
                <w:rFonts w:ascii="Arial" w:hAnsi="Arial" w:cs="Arial"/>
                <w:spacing w:val="-1"/>
                <w:vertAlign w:val="superscript"/>
                <w:lang w:val="fr-FR"/>
              </w:rPr>
              <w:t>er</w:t>
            </w:r>
            <w:r>
              <w:rPr>
                <w:rFonts w:ascii="Arial" w:hAnsi="Arial" w:cs="Arial"/>
                <w:spacing w:val="-1"/>
                <w:lang w:val="fr-FR"/>
              </w:rPr>
              <w:t xml:space="preserve"> juillet 2019.</w:t>
            </w:r>
          </w:p>
          <w:p w14:paraId="31163A26" w14:textId="77777777" w:rsidR="003628A9" w:rsidRDefault="003628A9" w:rsidP="00AD5A30">
            <w:pPr>
              <w:jc w:val="both"/>
              <w:rPr>
                <w:rFonts w:ascii="Arial" w:hAnsi="Arial" w:cs="Arial"/>
                <w:lang w:val="fr-BE"/>
              </w:rPr>
            </w:pPr>
          </w:p>
          <w:p w14:paraId="3CC19E2B" w14:textId="77777777" w:rsidR="003628A9" w:rsidRDefault="003628A9" w:rsidP="00AD5A30">
            <w:pPr>
              <w:jc w:val="both"/>
              <w:rPr>
                <w:rFonts w:ascii="Arial" w:hAnsi="Arial" w:cs="Arial"/>
                <w:lang w:val="fr-BE"/>
              </w:rPr>
            </w:pPr>
            <w:r>
              <w:rPr>
                <w:rFonts w:ascii="Arial" w:hAnsi="Arial" w:cs="Arial"/>
                <w:lang w:val="fr-BE"/>
              </w:rPr>
              <w:t>Au 1</w:t>
            </w:r>
            <w:r w:rsidRPr="00B36EF7">
              <w:rPr>
                <w:rFonts w:ascii="Arial" w:hAnsi="Arial" w:cs="Arial"/>
                <w:vertAlign w:val="superscript"/>
                <w:lang w:val="fr-BE"/>
              </w:rPr>
              <w:t>er</w:t>
            </w:r>
            <w:r>
              <w:rPr>
                <w:rFonts w:ascii="Arial" w:hAnsi="Arial" w:cs="Arial"/>
                <w:lang w:val="fr-BE"/>
              </w:rPr>
              <w:t xml:space="preserve"> juillet 2019, les primes d’équipes minima s’élèvent 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1276"/>
            </w:tblGrid>
            <w:tr w:rsidR="003628A9" w14:paraId="0B33693F" w14:textId="77777777" w:rsidTr="00392270">
              <w:tc>
                <w:tcPr>
                  <w:tcW w:w="2751" w:type="dxa"/>
                </w:tcPr>
                <w:p w14:paraId="6ADDB3B5" w14:textId="6F05DC47" w:rsidR="003628A9" w:rsidRDefault="003628A9" w:rsidP="00AD5A30">
                  <w:pPr>
                    <w:pStyle w:val="ListParagraph"/>
                    <w:numPr>
                      <w:ilvl w:val="0"/>
                      <w:numId w:val="1"/>
                    </w:numPr>
                    <w:ind w:left="237"/>
                    <w:jc w:val="both"/>
                    <w:rPr>
                      <w:rFonts w:ascii="Arial" w:eastAsiaTheme="minorEastAsia" w:hAnsi="Arial" w:cs="Arial"/>
                      <w:spacing w:val="-1"/>
                      <w:lang w:val="nl-NL" w:eastAsia="zh-CN"/>
                    </w:rPr>
                  </w:pPr>
                  <w:r>
                    <w:rPr>
                      <w:rFonts w:ascii="Arial" w:eastAsiaTheme="minorEastAsia" w:hAnsi="Arial" w:cs="Arial"/>
                      <w:spacing w:val="-1"/>
                      <w:lang w:val="nl-NL" w:eastAsia="zh-CN"/>
                    </w:rPr>
                    <w:t>Equipe d</w:t>
                  </w:r>
                  <w:r w:rsidR="006D6143">
                    <w:rPr>
                      <w:rFonts w:ascii="Arial" w:eastAsiaTheme="minorEastAsia" w:hAnsi="Arial" w:cs="Arial"/>
                      <w:spacing w:val="-1"/>
                      <w:lang w:val="nl-NL" w:eastAsia="zh-CN"/>
                    </w:rPr>
                    <w:t>u</w:t>
                  </w:r>
                  <w:r>
                    <w:rPr>
                      <w:rFonts w:ascii="Arial" w:eastAsiaTheme="minorEastAsia" w:hAnsi="Arial" w:cs="Arial"/>
                      <w:spacing w:val="-1"/>
                      <w:lang w:val="nl-NL" w:eastAsia="zh-CN"/>
                    </w:rPr>
                    <w:t xml:space="preserve"> </w:t>
                  </w:r>
                  <w:proofErr w:type="spellStart"/>
                  <w:r>
                    <w:rPr>
                      <w:rFonts w:ascii="Arial" w:eastAsiaTheme="minorEastAsia" w:hAnsi="Arial" w:cs="Arial"/>
                      <w:spacing w:val="-1"/>
                      <w:lang w:val="nl-NL" w:eastAsia="zh-CN"/>
                    </w:rPr>
                    <w:t>matin</w:t>
                  </w:r>
                  <w:proofErr w:type="spellEnd"/>
                  <w:r w:rsidR="009F3498">
                    <w:rPr>
                      <w:rFonts w:ascii="Arial" w:eastAsiaTheme="minorEastAsia" w:hAnsi="Arial" w:cs="Arial"/>
                      <w:spacing w:val="-1"/>
                      <w:lang w:val="nl-NL" w:eastAsia="zh-CN"/>
                    </w:rPr>
                    <w:t xml:space="preserve"> </w:t>
                  </w:r>
                  <w:r>
                    <w:rPr>
                      <w:rFonts w:ascii="Arial" w:eastAsiaTheme="minorEastAsia" w:hAnsi="Arial" w:cs="Arial"/>
                      <w:spacing w:val="-1"/>
                      <w:lang w:val="nl-NL" w:eastAsia="zh-CN"/>
                    </w:rPr>
                    <w:t>:</w:t>
                  </w:r>
                </w:p>
              </w:tc>
              <w:tc>
                <w:tcPr>
                  <w:tcW w:w="1276" w:type="dxa"/>
                </w:tcPr>
                <w:p w14:paraId="564409A9" w14:textId="09BFE682" w:rsidR="003628A9" w:rsidRPr="004579C8" w:rsidRDefault="003628A9" w:rsidP="00AD5A30">
                  <w:pPr>
                    <w:jc w:val="both"/>
                    <w:rPr>
                      <w:rFonts w:ascii="Arial" w:eastAsiaTheme="minorEastAsia" w:hAnsi="Arial" w:cs="Arial"/>
                      <w:spacing w:val="-1"/>
                      <w:lang w:val="nl-NL" w:eastAsia="zh-CN"/>
                    </w:rPr>
                  </w:pPr>
                  <w:r>
                    <w:rPr>
                      <w:rFonts w:ascii="Arial" w:eastAsiaTheme="minorEastAsia" w:hAnsi="Arial" w:cs="Arial"/>
                      <w:spacing w:val="-1"/>
                      <w:lang w:val="nl-NL" w:eastAsia="zh-CN"/>
                    </w:rPr>
                    <w:t>€</w:t>
                  </w:r>
                  <w:r w:rsidR="00392270">
                    <w:rPr>
                      <w:rFonts w:ascii="Arial" w:eastAsiaTheme="minorEastAsia" w:hAnsi="Arial" w:cs="Arial"/>
                      <w:spacing w:val="-1"/>
                      <w:lang w:val="nl-NL" w:eastAsia="zh-CN"/>
                    </w:rPr>
                    <w:t xml:space="preserve"> 0,6978</w:t>
                  </w:r>
                </w:p>
              </w:tc>
            </w:tr>
            <w:tr w:rsidR="003628A9" w14:paraId="2B1BBE71" w14:textId="77777777" w:rsidTr="00392270">
              <w:tc>
                <w:tcPr>
                  <w:tcW w:w="2751" w:type="dxa"/>
                </w:tcPr>
                <w:p w14:paraId="4E5948FD" w14:textId="31F46380" w:rsidR="003628A9" w:rsidRPr="009F3498" w:rsidRDefault="003628A9" w:rsidP="00AD5A30">
                  <w:pPr>
                    <w:pStyle w:val="ListParagraph"/>
                    <w:numPr>
                      <w:ilvl w:val="0"/>
                      <w:numId w:val="1"/>
                    </w:numPr>
                    <w:ind w:left="237"/>
                    <w:jc w:val="both"/>
                    <w:rPr>
                      <w:rFonts w:ascii="Arial" w:eastAsiaTheme="minorEastAsia" w:hAnsi="Arial" w:cs="Arial"/>
                      <w:spacing w:val="-1"/>
                      <w:lang w:val="fr-BE" w:eastAsia="zh-CN"/>
                    </w:rPr>
                  </w:pPr>
                  <w:r w:rsidRPr="009F3498">
                    <w:rPr>
                      <w:rFonts w:ascii="Arial" w:eastAsiaTheme="minorEastAsia" w:hAnsi="Arial" w:cs="Arial"/>
                      <w:spacing w:val="-1"/>
                      <w:lang w:val="fr-BE" w:eastAsia="zh-CN"/>
                    </w:rPr>
                    <w:t>Equipe de l’après-midi</w:t>
                  </w:r>
                  <w:r w:rsidR="009F3498">
                    <w:rPr>
                      <w:rFonts w:ascii="Arial" w:eastAsiaTheme="minorEastAsia" w:hAnsi="Arial" w:cs="Arial"/>
                      <w:spacing w:val="-1"/>
                      <w:lang w:val="fr-BE" w:eastAsia="zh-CN"/>
                    </w:rPr>
                    <w:t xml:space="preserve"> </w:t>
                  </w:r>
                  <w:r w:rsidRPr="009F3498">
                    <w:rPr>
                      <w:rFonts w:ascii="Arial" w:eastAsiaTheme="minorEastAsia" w:hAnsi="Arial" w:cs="Arial"/>
                      <w:spacing w:val="-1"/>
                      <w:lang w:val="fr-BE" w:eastAsia="zh-CN"/>
                    </w:rPr>
                    <w:t>:</w:t>
                  </w:r>
                </w:p>
              </w:tc>
              <w:tc>
                <w:tcPr>
                  <w:tcW w:w="1276" w:type="dxa"/>
                </w:tcPr>
                <w:p w14:paraId="5251E71A" w14:textId="69461BC1" w:rsidR="003628A9" w:rsidRDefault="003628A9" w:rsidP="00AD5A30">
                  <w:pPr>
                    <w:pStyle w:val="ListParagraph"/>
                    <w:ind w:left="0"/>
                    <w:jc w:val="both"/>
                    <w:rPr>
                      <w:rFonts w:ascii="Arial" w:eastAsiaTheme="minorEastAsia" w:hAnsi="Arial" w:cs="Arial"/>
                      <w:spacing w:val="-1"/>
                      <w:lang w:val="nl-NL" w:eastAsia="zh-CN"/>
                    </w:rPr>
                  </w:pPr>
                  <w:r>
                    <w:rPr>
                      <w:rFonts w:ascii="Arial" w:eastAsiaTheme="minorEastAsia" w:hAnsi="Arial" w:cs="Arial"/>
                      <w:spacing w:val="-1"/>
                      <w:lang w:val="nl-NL" w:eastAsia="zh-CN"/>
                    </w:rPr>
                    <w:t>€</w:t>
                  </w:r>
                  <w:r w:rsidR="00392270">
                    <w:rPr>
                      <w:rFonts w:ascii="Arial" w:eastAsiaTheme="minorEastAsia" w:hAnsi="Arial" w:cs="Arial"/>
                      <w:spacing w:val="-1"/>
                      <w:lang w:val="nl-NL" w:eastAsia="zh-CN"/>
                    </w:rPr>
                    <w:t xml:space="preserve"> 0,6978</w:t>
                  </w:r>
                </w:p>
              </w:tc>
            </w:tr>
            <w:tr w:rsidR="003628A9" w14:paraId="081BDD93" w14:textId="77777777" w:rsidTr="00392270">
              <w:tc>
                <w:tcPr>
                  <w:tcW w:w="2751" w:type="dxa"/>
                </w:tcPr>
                <w:p w14:paraId="6265C167" w14:textId="0799FAFF" w:rsidR="003628A9" w:rsidRDefault="003628A9" w:rsidP="00AD5A30">
                  <w:pPr>
                    <w:pStyle w:val="ListParagraph"/>
                    <w:numPr>
                      <w:ilvl w:val="0"/>
                      <w:numId w:val="1"/>
                    </w:numPr>
                    <w:ind w:left="237"/>
                    <w:jc w:val="both"/>
                    <w:rPr>
                      <w:rFonts w:ascii="Arial" w:eastAsiaTheme="minorEastAsia" w:hAnsi="Arial" w:cs="Arial"/>
                      <w:spacing w:val="-1"/>
                      <w:lang w:val="nl-NL" w:eastAsia="zh-CN"/>
                    </w:rPr>
                  </w:pPr>
                  <w:r>
                    <w:rPr>
                      <w:rFonts w:ascii="Arial" w:eastAsiaTheme="minorEastAsia" w:hAnsi="Arial" w:cs="Arial"/>
                      <w:spacing w:val="-1"/>
                      <w:lang w:val="nl-NL" w:eastAsia="zh-CN"/>
                    </w:rPr>
                    <w:t>Equipe de nuit</w:t>
                  </w:r>
                  <w:r w:rsidR="009F3498">
                    <w:rPr>
                      <w:rFonts w:ascii="Arial" w:eastAsiaTheme="minorEastAsia" w:hAnsi="Arial" w:cs="Arial"/>
                      <w:spacing w:val="-1"/>
                      <w:lang w:val="nl-NL" w:eastAsia="zh-CN"/>
                    </w:rPr>
                    <w:t xml:space="preserve"> </w:t>
                  </w:r>
                  <w:r>
                    <w:rPr>
                      <w:rFonts w:ascii="Arial" w:eastAsiaTheme="minorEastAsia" w:hAnsi="Arial" w:cs="Arial"/>
                      <w:spacing w:val="-1"/>
                      <w:lang w:val="nl-NL" w:eastAsia="zh-CN"/>
                    </w:rPr>
                    <w:t>:</w:t>
                  </w:r>
                </w:p>
              </w:tc>
              <w:tc>
                <w:tcPr>
                  <w:tcW w:w="1276" w:type="dxa"/>
                </w:tcPr>
                <w:p w14:paraId="74B969C7" w14:textId="7EC1145C" w:rsidR="003628A9" w:rsidRDefault="003628A9" w:rsidP="00AD5A30">
                  <w:pPr>
                    <w:pStyle w:val="ListParagraph"/>
                    <w:ind w:left="0"/>
                    <w:jc w:val="both"/>
                    <w:rPr>
                      <w:rFonts w:ascii="Arial" w:eastAsiaTheme="minorEastAsia" w:hAnsi="Arial" w:cs="Arial"/>
                      <w:spacing w:val="-1"/>
                      <w:lang w:val="nl-NL" w:eastAsia="zh-CN"/>
                    </w:rPr>
                  </w:pPr>
                  <w:r>
                    <w:rPr>
                      <w:rFonts w:ascii="Arial" w:eastAsiaTheme="minorEastAsia" w:hAnsi="Arial" w:cs="Arial"/>
                      <w:spacing w:val="-1"/>
                      <w:lang w:val="nl-NL" w:eastAsia="zh-CN"/>
                    </w:rPr>
                    <w:t>€</w:t>
                  </w:r>
                  <w:r w:rsidR="00392270">
                    <w:rPr>
                      <w:rFonts w:ascii="Arial" w:eastAsiaTheme="minorEastAsia" w:hAnsi="Arial" w:cs="Arial"/>
                      <w:spacing w:val="-1"/>
                      <w:lang w:val="nl-NL" w:eastAsia="zh-CN"/>
                    </w:rPr>
                    <w:t xml:space="preserve"> 2,3448</w:t>
                  </w:r>
                </w:p>
              </w:tc>
            </w:tr>
          </w:tbl>
          <w:p w14:paraId="301001A2" w14:textId="77777777" w:rsidR="003628A9" w:rsidRDefault="003628A9" w:rsidP="00AD5A30">
            <w:pPr>
              <w:jc w:val="both"/>
              <w:rPr>
                <w:rFonts w:ascii="Arial" w:hAnsi="Arial" w:cs="Arial"/>
                <w:lang w:val="fr-BE"/>
              </w:rPr>
            </w:pPr>
          </w:p>
          <w:p w14:paraId="711B644A" w14:textId="77777777" w:rsidR="003628A9" w:rsidRDefault="003628A9" w:rsidP="00AD5A30">
            <w:pPr>
              <w:jc w:val="both"/>
              <w:rPr>
                <w:rFonts w:ascii="Arial" w:hAnsi="Arial" w:cs="Arial"/>
                <w:lang w:val="fr-BE"/>
              </w:rPr>
            </w:pPr>
            <w:r>
              <w:rPr>
                <w:rFonts w:ascii="Arial" w:hAnsi="Arial" w:cs="Arial"/>
                <w:lang w:val="fr-BE"/>
              </w:rPr>
              <w:t>L’arrondi sera calculé conformément à l’article 4 de la présente CCT.</w:t>
            </w:r>
          </w:p>
          <w:p w14:paraId="42E34CD0" w14:textId="77777777" w:rsidR="003628A9" w:rsidRPr="00002F59" w:rsidRDefault="003628A9" w:rsidP="00AD5A30">
            <w:pPr>
              <w:jc w:val="both"/>
              <w:rPr>
                <w:rFonts w:ascii="Arial" w:hAnsi="Arial" w:cs="Arial"/>
                <w:lang w:val="fr-BE"/>
              </w:rPr>
            </w:pPr>
          </w:p>
        </w:tc>
      </w:tr>
      <w:tr w:rsidR="003628A9" w:rsidRPr="00002F59" w14:paraId="474D04CA" w14:textId="77777777" w:rsidTr="00C62C6B">
        <w:tc>
          <w:tcPr>
            <w:tcW w:w="4508" w:type="dxa"/>
          </w:tcPr>
          <w:p w14:paraId="0CC0A332" w14:textId="0F0211C6" w:rsidR="003628A9" w:rsidRPr="00AD5A30" w:rsidRDefault="003628A9" w:rsidP="00AD5A30">
            <w:pPr>
              <w:jc w:val="both"/>
              <w:rPr>
                <w:rFonts w:ascii="Arial" w:hAnsi="Arial" w:cs="Arial"/>
                <w:b/>
                <w:bCs/>
                <w:lang w:val="fr-BE"/>
              </w:rPr>
            </w:pPr>
            <w:r w:rsidRPr="00AD5A30">
              <w:rPr>
                <w:rFonts w:ascii="Arial" w:hAnsi="Arial" w:cs="Arial"/>
                <w:b/>
                <w:bCs/>
                <w:lang w:val="fr-BE"/>
              </w:rPr>
              <w:t>ARTIKEL</w:t>
            </w:r>
            <w:r w:rsidR="00AD5A30" w:rsidRPr="00AD5A30">
              <w:rPr>
                <w:rFonts w:ascii="Arial" w:hAnsi="Arial" w:cs="Arial"/>
                <w:b/>
                <w:bCs/>
                <w:lang w:val="fr-BE"/>
              </w:rPr>
              <w:t xml:space="preserve"> 3</w:t>
            </w:r>
          </w:p>
        </w:tc>
        <w:tc>
          <w:tcPr>
            <w:tcW w:w="4508" w:type="dxa"/>
          </w:tcPr>
          <w:p w14:paraId="55415B00" w14:textId="68280F71" w:rsidR="003628A9" w:rsidRPr="00AD5A30" w:rsidRDefault="003628A9" w:rsidP="00AD5A30">
            <w:pPr>
              <w:jc w:val="both"/>
              <w:rPr>
                <w:rFonts w:ascii="Arial" w:hAnsi="Arial" w:cs="Arial"/>
                <w:b/>
                <w:bCs/>
                <w:lang w:val="fr-BE"/>
              </w:rPr>
            </w:pPr>
            <w:r w:rsidRPr="00AD5A30">
              <w:rPr>
                <w:rFonts w:ascii="Arial" w:hAnsi="Arial" w:cs="Arial"/>
                <w:b/>
                <w:bCs/>
                <w:lang w:val="fr-BE"/>
              </w:rPr>
              <w:t>ARTICLE</w:t>
            </w:r>
            <w:r w:rsidR="00AD5A30" w:rsidRPr="00AD5A30">
              <w:rPr>
                <w:rFonts w:ascii="Arial" w:hAnsi="Arial" w:cs="Arial"/>
                <w:b/>
                <w:bCs/>
                <w:lang w:val="fr-BE"/>
              </w:rPr>
              <w:t xml:space="preserve"> 3</w:t>
            </w:r>
          </w:p>
        </w:tc>
      </w:tr>
      <w:tr w:rsidR="003628A9" w:rsidRPr="00C34F4D" w14:paraId="67BD1CDB" w14:textId="77777777" w:rsidTr="00C62C6B">
        <w:tc>
          <w:tcPr>
            <w:tcW w:w="4508" w:type="dxa"/>
          </w:tcPr>
          <w:p w14:paraId="70BD8189" w14:textId="2441CB84" w:rsidR="003628A9" w:rsidRDefault="003628A9"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r w:rsidRPr="003434BF">
              <w:rPr>
                <w:rFonts w:ascii="Arial" w:hAnsi="Arial" w:cs="Arial"/>
                <w:spacing w:val="-1"/>
                <w:lang w:val="nl-NL"/>
              </w:rPr>
              <w:t xml:space="preserve">De minimum ploegenpremies vastgelegd in artikel </w:t>
            </w:r>
            <w:r w:rsidR="00AD5A30">
              <w:rPr>
                <w:rFonts w:ascii="Arial" w:hAnsi="Arial" w:cs="Arial"/>
                <w:spacing w:val="-1"/>
                <w:lang w:val="nl-NL"/>
              </w:rPr>
              <w:t>2</w:t>
            </w:r>
            <w:r w:rsidRPr="003434BF">
              <w:rPr>
                <w:rFonts w:ascii="Arial" w:hAnsi="Arial" w:cs="Arial"/>
                <w:spacing w:val="-1"/>
                <w:lang w:val="nl-NL"/>
              </w:rPr>
              <w:t xml:space="preserve"> stemmen overeen met een daadwerkelijke wekelijkse arbeidsduur van </w:t>
            </w:r>
            <w:r>
              <w:rPr>
                <w:rFonts w:ascii="Arial" w:hAnsi="Arial" w:cs="Arial"/>
                <w:spacing w:val="-1"/>
                <w:lang w:val="nl-NL"/>
              </w:rPr>
              <w:t xml:space="preserve">40 </w:t>
            </w:r>
            <w:r w:rsidRPr="003434BF">
              <w:rPr>
                <w:rFonts w:ascii="Arial" w:hAnsi="Arial" w:cs="Arial"/>
                <w:spacing w:val="-1"/>
                <w:lang w:val="nl-NL"/>
              </w:rPr>
              <w:t>uren.</w:t>
            </w:r>
            <w:r>
              <w:rPr>
                <w:rFonts w:ascii="Arial" w:hAnsi="Arial" w:cs="Arial"/>
                <w:spacing w:val="-1"/>
                <w:lang w:val="nl-NL"/>
              </w:rPr>
              <w:t xml:space="preserve"> </w:t>
            </w:r>
          </w:p>
          <w:p w14:paraId="311F61E7" w14:textId="77777777" w:rsidR="003628A9" w:rsidRPr="003434BF" w:rsidRDefault="003628A9"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r w:rsidRPr="003434BF">
              <w:rPr>
                <w:rFonts w:ascii="Arial" w:hAnsi="Arial" w:cs="Arial"/>
                <w:spacing w:val="-1"/>
                <w:lang w:val="nl-NL"/>
              </w:rPr>
              <w:t xml:space="preserve">Wanneer de wekelijkse arbeidsduur van 40 uren daadwerkelijk per week verminderd is met perequatie van het loon, worden bovenstaande minimum ploegenpremies evenredig </w:t>
            </w:r>
            <w:proofErr w:type="spellStart"/>
            <w:r w:rsidRPr="003434BF">
              <w:rPr>
                <w:rFonts w:ascii="Arial" w:hAnsi="Arial" w:cs="Arial"/>
                <w:spacing w:val="-1"/>
                <w:lang w:val="nl-NL"/>
              </w:rPr>
              <w:t>geperequateerd</w:t>
            </w:r>
            <w:proofErr w:type="spellEnd"/>
            <w:r w:rsidRPr="003434BF">
              <w:rPr>
                <w:rFonts w:ascii="Arial" w:hAnsi="Arial" w:cs="Arial"/>
                <w:spacing w:val="-1"/>
                <w:lang w:val="nl-NL"/>
              </w:rPr>
              <w:t>.</w:t>
            </w:r>
          </w:p>
          <w:p w14:paraId="1BFB9B95" w14:textId="77777777" w:rsidR="003628A9" w:rsidRPr="003434BF" w:rsidRDefault="003628A9"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p>
          <w:p w14:paraId="1E8C739B" w14:textId="3675FB53" w:rsidR="003628A9" w:rsidRPr="003434BF" w:rsidRDefault="00B201DE"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r>
              <w:rPr>
                <w:rFonts w:ascii="Arial" w:hAnsi="Arial" w:cs="Arial"/>
                <w:spacing w:val="-1"/>
                <w:lang w:val="nl-NL"/>
              </w:rPr>
              <w:t xml:space="preserve">Deze </w:t>
            </w:r>
            <w:r w:rsidR="003628A9" w:rsidRPr="003434BF">
              <w:rPr>
                <w:rFonts w:ascii="Arial" w:hAnsi="Arial" w:cs="Arial"/>
                <w:spacing w:val="-1"/>
                <w:lang w:val="nl-NL"/>
              </w:rPr>
              <w:t>perequatie gebeurt zonder afronding, conform artikel 4 hierna: het resultaat van de perequatie van de ploegenpremies, in euro, wordt uitgedrukt tot de vierde decimaal.</w:t>
            </w:r>
          </w:p>
          <w:p w14:paraId="0D3BB7EF" w14:textId="77777777" w:rsidR="003628A9" w:rsidRDefault="003628A9"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p>
          <w:p w14:paraId="470C0F42" w14:textId="6B7CDBAA" w:rsidR="003628A9" w:rsidRDefault="003628A9"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p>
          <w:p w14:paraId="300409DC" w14:textId="77777777" w:rsidR="00BF22EC" w:rsidRDefault="00BF22EC"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p>
          <w:p w14:paraId="34B24319" w14:textId="77777777" w:rsidR="003628A9" w:rsidRPr="003434BF" w:rsidRDefault="003628A9"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r w:rsidRPr="003434BF">
              <w:rPr>
                <w:rFonts w:ascii="Arial" w:hAnsi="Arial" w:cs="Arial"/>
                <w:spacing w:val="-1"/>
                <w:lang w:val="nl-NL"/>
              </w:rPr>
              <w:t>Voorbeeld van perequatie</w:t>
            </w:r>
          </w:p>
          <w:p w14:paraId="35C4F40B" w14:textId="768501E4" w:rsidR="003628A9" w:rsidRPr="009A1473" w:rsidRDefault="003628A9"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r w:rsidRPr="003434BF">
              <w:rPr>
                <w:rFonts w:ascii="Arial" w:hAnsi="Arial" w:cs="Arial"/>
                <w:spacing w:val="-1"/>
                <w:lang w:val="nl-NL"/>
              </w:rPr>
              <w:t xml:space="preserve">40 uur per week = </w:t>
            </w:r>
            <w:r w:rsidR="00392270">
              <w:rPr>
                <w:rFonts w:ascii="Arial" w:hAnsi="Arial" w:cs="Arial"/>
                <w:spacing w:val="-1"/>
                <w:lang w:val="nl-NL"/>
              </w:rPr>
              <w:t xml:space="preserve">€ </w:t>
            </w:r>
            <w:r w:rsidRPr="009A1473">
              <w:rPr>
                <w:rFonts w:ascii="Arial" w:hAnsi="Arial" w:cs="Arial"/>
                <w:spacing w:val="-1"/>
                <w:lang w:val="nl-NL"/>
              </w:rPr>
              <w:t>0,</w:t>
            </w:r>
            <w:r w:rsidR="00392270" w:rsidRPr="009A1473">
              <w:rPr>
                <w:rFonts w:ascii="Arial" w:hAnsi="Arial" w:cs="Arial"/>
                <w:spacing w:val="-1"/>
                <w:lang w:val="nl-NL"/>
              </w:rPr>
              <w:t>6978</w:t>
            </w:r>
            <w:r w:rsidRPr="009A1473">
              <w:rPr>
                <w:rFonts w:ascii="Arial" w:hAnsi="Arial" w:cs="Arial"/>
                <w:spacing w:val="-1"/>
                <w:lang w:val="nl-NL"/>
              </w:rPr>
              <w:t xml:space="preserve"> </w:t>
            </w:r>
          </w:p>
          <w:p w14:paraId="78000C35" w14:textId="77777777" w:rsidR="00392270" w:rsidRPr="009A1473" w:rsidRDefault="00392270"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p>
          <w:p w14:paraId="59700773" w14:textId="187C5AA6" w:rsidR="00C34F4D" w:rsidRDefault="003628A9" w:rsidP="009A1473">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r w:rsidRPr="009A1473">
              <w:rPr>
                <w:rFonts w:ascii="Arial" w:hAnsi="Arial" w:cs="Arial"/>
                <w:spacing w:val="-1"/>
                <w:lang w:val="nl-NL"/>
              </w:rPr>
              <w:t>Perequatie naar 38 uur per week:</w:t>
            </w:r>
            <w:r w:rsidR="00C34F4D">
              <w:rPr>
                <w:rFonts w:ascii="Arial" w:hAnsi="Arial" w:cs="Arial"/>
                <w:spacing w:val="-1"/>
                <w:lang w:val="nl-NL"/>
              </w:rPr>
              <w:t xml:space="preserve"> € 0,6978933 x 40/38 = € 0,73462</w:t>
            </w:r>
          </w:p>
          <w:p w14:paraId="2C770A95" w14:textId="51B5A057" w:rsidR="003628A9" w:rsidRDefault="00C34F4D" w:rsidP="009A1473">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r>
              <w:rPr>
                <w:rFonts w:ascii="Arial" w:hAnsi="Arial" w:cs="Arial"/>
                <w:spacing w:val="-1"/>
                <w:lang w:val="nl-NL"/>
              </w:rPr>
              <w:t>N</w:t>
            </w:r>
            <w:r w:rsidR="003628A9" w:rsidRPr="009A1473">
              <w:rPr>
                <w:rFonts w:ascii="Arial" w:hAnsi="Arial" w:cs="Arial"/>
                <w:spacing w:val="-1"/>
                <w:lang w:val="nl-NL"/>
              </w:rPr>
              <w:t xml:space="preserve">a de perequatie worden de cijfers na de vierde decimaal niet in acht genomen en wordt het toegepast bedrag: </w:t>
            </w:r>
            <w:r w:rsidR="007328F2" w:rsidRPr="009A1473">
              <w:rPr>
                <w:rFonts w:ascii="Arial" w:hAnsi="Arial" w:cs="Arial"/>
                <w:spacing w:val="-1"/>
                <w:lang w:val="nl-NL"/>
              </w:rPr>
              <w:t xml:space="preserve">€ </w:t>
            </w:r>
            <w:r w:rsidR="003628A9" w:rsidRPr="009A1473">
              <w:rPr>
                <w:rFonts w:ascii="Arial" w:hAnsi="Arial" w:cs="Arial"/>
                <w:spacing w:val="-1"/>
                <w:lang w:val="nl-NL"/>
              </w:rPr>
              <w:t>0,</w:t>
            </w:r>
            <w:r w:rsidR="007328F2" w:rsidRPr="009A1473">
              <w:rPr>
                <w:rFonts w:ascii="Arial" w:hAnsi="Arial" w:cs="Arial"/>
                <w:spacing w:val="-1"/>
                <w:lang w:val="nl-NL"/>
              </w:rPr>
              <w:t>7346</w:t>
            </w:r>
            <w:r w:rsidR="007328F2">
              <w:rPr>
                <w:rFonts w:ascii="Arial" w:hAnsi="Arial" w:cs="Arial"/>
                <w:spacing w:val="-1"/>
                <w:lang w:val="nl-NL"/>
              </w:rPr>
              <w:t>.</w:t>
            </w:r>
          </w:p>
          <w:p w14:paraId="435F865D" w14:textId="25FB1590" w:rsidR="00BF22EC" w:rsidRPr="00B36EF7" w:rsidRDefault="00BF22EC" w:rsidP="009A1473">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rPr>
            </w:pPr>
          </w:p>
        </w:tc>
        <w:tc>
          <w:tcPr>
            <w:tcW w:w="4508" w:type="dxa"/>
          </w:tcPr>
          <w:p w14:paraId="42B267AA" w14:textId="4FF87BE2" w:rsidR="003628A9" w:rsidRDefault="003628A9" w:rsidP="00AD5A30">
            <w:pPr>
              <w:tabs>
                <w:tab w:val="left" w:pos="432"/>
                <w:tab w:val="left" w:pos="907"/>
                <w:tab w:val="left" w:pos="1020"/>
                <w:tab w:val="left" w:pos="1728"/>
                <w:tab w:val="left" w:pos="2410"/>
                <w:tab w:val="left" w:pos="2808"/>
                <w:tab w:val="left" w:pos="3124"/>
                <w:tab w:val="left" w:pos="4798"/>
                <w:tab w:val="left" w:pos="6138"/>
              </w:tabs>
              <w:suppressAutoHyphens/>
              <w:jc w:val="both"/>
              <w:rPr>
                <w:rFonts w:ascii="Arial" w:hAnsi="Arial" w:cs="Arial"/>
                <w:spacing w:val="-1"/>
                <w:lang w:val="fr-FR"/>
              </w:rPr>
            </w:pPr>
            <w:r>
              <w:rPr>
                <w:rFonts w:ascii="Arial" w:hAnsi="Arial" w:cs="Arial"/>
                <w:spacing w:val="-1"/>
                <w:lang w:val="fr-FR"/>
              </w:rPr>
              <w:lastRenderedPageBreak/>
              <w:t>Les primes d’équipes minima</w:t>
            </w:r>
            <w:r w:rsidRPr="003434BF">
              <w:rPr>
                <w:rFonts w:ascii="Arial" w:hAnsi="Arial" w:cs="Arial"/>
                <w:spacing w:val="-1"/>
                <w:lang w:val="fr-FR"/>
              </w:rPr>
              <w:t xml:space="preserve"> fixées à l’article </w:t>
            </w:r>
            <w:r w:rsidR="00AD5A30">
              <w:rPr>
                <w:rFonts w:ascii="Arial" w:hAnsi="Arial" w:cs="Arial"/>
                <w:spacing w:val="-1"/>
                <w:lang w:val="fr-FR"/>
              </w:rPr>
              <w:t>2</w:t>
            </w:r>
            <w:r w:rsidRPr="003434BF">
              <w:rPr>
                <w:rFonts w:ascii="Arial" w:hAnsi="Arial" w:cs="Arial"/>
                <w:spacing w:val="-1"/>
                <w:lang w:val="fr-FR"/>
              </w:rPr>
              <w:t xml:space="preserve"> correspondent à une durée effective hebdomadaire du travail de </w:t>
            </w:r>
            <w:r>
              <w:rPr>
                <w:rFonts w:ascii="Arial" w:hAnsi="Arial" w:cs="Arial"/>
                <w:spacing w:val="-1"/>
                <w:lang w:val="fr-FR"/>
              </w:rPr>
              <w:t xml:space="preserve">40 </w:t>
            </w:r>
            <w:r w:rsidRPr="003434BF">
              <w:rPr>
                <w:rFonts w:ascii="Arial" w:hAnsi="Arial" w:cs="Arial"/>
                <w:spacing w:val="-1"/>
                <w:lang w:val="fr-FR"/>
              </w:rPr>
              <w:t>heures.</w:t>
            </w:r>
          </w:p>
          <w:p w14:paraId="513FC258" w14:textId="77777777" w:rsidR="003628A9" w:rsidRDefault="003628A9" w:rsidP="00AD5A30">
            <w:pPr>
              <w:tabs>
                <w:tab w:val="left" w:pos="432"/>
                <w:tab w:val="left" w:pos="907"/>
                <w:tab w:val="left" w:pos="1020"/>
                <w:tab w:val="left" w:pos="1728"/>
                <w:tab w:val="left" w:pos="2410"/>
                <w:tab w:val="left" w:pos="2808"/>
                <w:tab w:val="left" w:pos="3124"/>
                <w:tab w:val="left" w:pos="4798"/>
                <w:tab w:val="left" w:pos="6138"/>
              </w:tabs>
              <w:suppressAutoHyphens/>
              <w:jc w:val="both"/>
              <w:rPr>
                <w:rFonts w:ascii="Arial" w:hAnsi="Arial" w:cs="Arial"/>
                <w:spacing w:val="-1"/>
                <w:lang w:val="fr-FR"/>
              </w:rPr>
            </w:pPr>
          </w:p>
          <w:p w14:paraId="160F7ECA" w14:textId="77777777" w:rsidR="003628A9" w:rsidRPr="003434BF" w:rsidRDefault="003628A9" w:rsidP="00AD5A30">
            <w:pPr>
              <w:tabs>
                <w:tab w:val="left" w:pos="432"/>
                <w:tab w:val="left" w:pos="907"/>
                <w:tab w:val="left" w:pos="1020"/>
                <w:tab w:val="left" w:pos="1728"/>
                <w:tab w:val="left" w:pos="2410"/>
                <w:tab w:val="left" w:pos="2808"/>
                <w:tab w:val="left" w:pos="3124"/>
                <w:tab w:val="left" w:pos="4798"/>
                <w:tab w:val="left" w:pos="6138"/>
              </w:tabs>
              <w:suppressAutoHyphens/>
              <w:jc w:val="both"/>
              <w:rPr>
                <w:rFonts w:ascii="Arial" w:hAnsi="Arial" w:cs="Arial"/>
                <w:spacing w:val="-1"/>
                <w:lang w:val="fr-FR"/>
              </w:rPr>
            </w:pPr>
            <w:r w:rsidRPr="003434BF">
              <w:rPr>
                <w:rFonts w:ascii="Arial" w:hAnsi="Arial" w:cs="Arial"/>
                <w:spacing w:val="-1"/>
                <w:lang w:val="fr-FR"/>
              </w:rPr>
              <w:t xml:space="preserve">Lorsque la durée hebdomadaire de </w:t>
            </w:r>
            <w:r>
              <w:rPr>
                <w:rFonts w:ascii="Arial" w:hAnsi="Arial" w:cs="Arial"/>
                <w:spacing w:val="-1"/>
                <w:lang w:val="fr-FR"/>
              </w:rPr>
              <w:t xml:space="preserve">40 </w:t>
            </w:r>
            <w:r w:rsidRPr="003434BF">
              <w:rPr>
                <w:rFonts w:ascii="Arial" w:hAnsi="Arial" w:cs="Arial"/>
                <w:spacing w:val="-1"/>
                <w:lang w:val="fr-FR"/>
              </w:rPr>
              <w:t>heures est effectivement réduite par semaine avec péréquation du salaire, ces montants sont péréquatés à due concurrence.</w:t>
            </w:r>
          </w:p>
          <w:p w14:paraId="6B7FD689" w14:textId="77777777" w:rsidR="003628A9" w:rsidRDefault="003628A9" w:rsidP="00AD5A30">
            <w:pPr>
              <w:tabs>
                <w:tab w:val="left" w:pos="432"/>
                <w:tab w:val="left" w:pos="907"/>
                <w:tab w:val="left" w:pos="1020"/>
                <w:tab w:val="left" w:pos="1728"/>
                <w:tab w:val="left" w:pos="2410"/>
                <w:tab w:val="left" w:pos="2808"/>
                <w:tab w:val="left" w:pos="3124"/>
                <w:tab w:val="left" w:pos="4798"/>
                <w:tab w:val="left" w:pos="6138"/>
              </w:tabs>
              <w:suppressAutoHyphens/>
              <w:jc w:val="both"/>
              <w:rPr>
                <w:rFonts w:ascii="Arial" w:hAnsi="Arial" w:cs="Arial"/>
                <w:spacing w:val="-1"/>
                <w:lang w:val="fr-FR"/>
              </w:rPr>
            </w:pPr>
          </w:p>
          <w:p w14:paraId="225626BB" w14:textId="77777777" w:rsidR="003628A9" w:rsidRDefault="003628A9" w:rsidP="00AD5A30">
            <w:pPr>
              <w:tabs>
                <w:tab w:val="left" w:pos="432"/>
                <w:tab w:val="left" w:pos="907"/>
                <w:tab w:val="left" w:pos="1020"/>
                <w:tab w:val="left" w:pos="1728"/>
                <w:tab w:val="left" w:pos="2410"/>
                <w:tab w:val="left" w:pos="2808"/>
                <w:tab w:val="left" w:pos="3124"/>
                <w:tab w:val="left" w:pos="4798"/>
                <w:tab w:val="left" w:pos="6138"/>
              </w:tabs>
              <w:suppressAutoHyphens/>
              <w:jc w:val="both"/>
              <w:rPr>
                <w:rFonts w:ascii="Arial" w:hAnsi="Arial" w:cs="Arial"/>
                <w:spacing w:val="-1"/>
                <w:lang w:val="fr-FR"/>
              </w:rPr>
            </w:pPr>
          </w:p>
          <w:p w14:paraId="5E188935" w14:textId="27DDFBFD" w:rsidR="003628A9" w:rsidRPr="003434BF" w:rsidRDefault="003628A9" w:rsidP="00AD5A30">
            <w:pPr>
              <w:tabs>
                <w:tab w:val="left" w:pos="432"/>
                <w:tab w:val="left" w:pos="907"/>
                <w:tab w:val="left" w:pos="1020"/>
                <w:tab w:val="left" w:pos="1728"/>
                <w:tab w:val="left" w:pos="2410"/>
                <w:tab w:val="left" w:pos="2808"/>
                <w:tab w:val="left" w:pos="3124"/>
                <w:tab w:val="left" w:pos="4798"/>
                <w:tab w:val="left" w:pos="6138"/>
              </w:tabs>
              <w:suppressAutoHyphens/>
              <w:jc w:val="both"/>
              <w:rPr>
                <w:rFonts w:ascii="Arial" w:hAnsi="Arial" w:cs="Arial"/>
                <w:spacing w:val="-1"/>
                <w:lang w:val="fr-FR"/>
              </w:rPr>
            </w:pPr>
            <w:r w:rsidRPr="003434BF">
              <w:rPr>
                <w:rFonts w:ascii="Arial" w:hAnsi="Arial" w:cs="Arial"/>
                <w:spacing w:val="-1"/>
                <w:lang w:val="fr-FR"/>
              </w:rPr>
              <w:t>La péréquation mentionnée à l’alinéa précédent du présent article est appliquée sans arrondi, conformément à l’article 4 ci-dessous</w:t>
            </w:r>
            <w:r w:rsidR="001D5B41">
              <w:rPr>
                <w:rFonts w:ascii="Arial" w:hAnsi="Arial" w:cs="Arial"/>
                <w:spacing w:val="-1"/>
                <w:lang w:val="fr-FR"/>
              </w:rPr>
              <w:t xml:space="preserve"> </w:t>
            </w:r>
            <w:r w:rsidRPr="003434BF">
              <w:rPr>
                <w:rFonts w:ascii="Arial" w:hAnsi="Arial" w:cs="Arial"/>
                <w:spacing w:val="-1"/>
                <w:lang w:val="fr-FR"/>
              </w:rPr>
              <w:t xml:space="preserve">: le résultat de la péréquation des primes d’équipes, libellées en euros, est </w:t>
            </w:r>
            <w:r w:rsidRPr="003434BF">
              <w:rPr>
                <w:rFonts w:ascii="Arial" w:hAnsi="Arial" w:cs="Arial"/>
                <w:spacing w:val="-1"/>
                <w:lang w:val="fr-FR"/>
              </w:rPr>
              <w:lastRenderedPageBreak/>
              <w:t xml:space="preserve">exprimé </w:t>
            </w:r>
            <w:r>
              <w:rPr>
                <w:rFonts w:ascii="Arial" w:hAnsi="Arial" w:cs="Arial"/>
                <w:spacing w:val="-1"/>
                <w:lang w:val="fr-FR"/>
              </w:rPr>
              <w:t>jusqu’à la quatrième décimale.</w:t>
            </w:r>
            <w:r>
              <w:rPr>
                <w:rFonts w:ascii="Arial" w:hAnsi="Arial" w:cs="Arial"/>
                <w:spacing w:val="-1"/>
                <w:lang w:val="fr-FR"/>
              </w:rPr>
              <w:br/>
            </w:r>
          </w:p>
          <w:p w14:paraId="6E5495B6" w14:textId="77777777" w:rsidR="003628A9" w:rsidRPr="008E2DAA" w:rsidRDefault="003628A9" w:rsidP="009A1473">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fr-BE"/>
              </w:rPr>
            </w:pPr>
            <w:r w:rsidRPr="008E2DAA">
              <w:rPr>
                <w:rFonts w:ascii="Arial" w:hAnsi="Arial" w:cs="Arial"/>
                <w:spacing w:val="-1"/>
                <w:lang w:val="fr-BE"/>
              </w:rPr>
              <w:t>Exemple de péréquation</w:t>
            </w:r>
          </w:p>
          <w:p w14:paraId="3E0050B1" w14:textId="0F659B0A" w:rsidR="003628A9" w:rsidRPr="008E2DAA" w:rsidRDefault="003628A9" w:rsidP="009A1473">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fr-BE"/>
              </w:rPr>
            </w:pPr>
            <w:r w:rsidRPr="008E2DAA">
              <w:rPr>
                <w:rFonts w:ascii="Arial" w:hAnsi="Arial" w:cs="Arial"/>
                <w:spacing w:val="-1"/>
                <w:lang w:val="fr-BE"/>
              </w:rPr>
              <w:t xml:space="preserve">40 heures par semaine = </w:t>
            </w:r>
            <w:r w:rsidR="007328F2" w:rsidRPr="008E2DAA">
              <w:rPr>
                <w:rFonts w:ascii="Arial" w:hAnsi="Arial" w:cs="Arial"/>
                <w:spacing w:val="-1"/>
                <w:lang w:val="fr-BE"/>
              </w:rPr>
              <w:t xml:space="preserve">€ </w:t>
            </w:r>
            <w:r w:rsidRPr="008E2DAA">
              <w:rPr>
                <w:rFonts w:ascii="Arial" w:hAnsi="Arial" w:cs="Arial"/>
                <w:spacing w:val="-1"/>
                <w:lang w:val="fr-BE"/>
              </w:rPr>
              <w:t>0,6</w:t>
            </w:r>
            <w:r w:rsidR="007328F2" w:rsidRPr="008E2DAA">
              <w:rPr>
                <w:rFonts w:ascii="Arial" w:hAnsi="Arial" w:cs="Arial"/>
                <w:spacing w:val="-1"/>
                <w:lang w:val="fr-BE"/>
              </w:rPr>
              <w:t>978</w:t>
            </w:r>
          </w:p>
          <w:p w14:paraId="47F975AC" w14:textId="77777777" w:rsidR="009A1473" w:rsidRPr="008E2DAA" w:rsidRDefault="009A1473" w:rsidP="009A1473">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fr-BE"/>
              </w:rPr>
            </w:pPr>
          </w:p>
          <w:p w14:paraId="38F4641F" w14:textId="77777777" w:rsidR="00C34F4D" w:rsidRDefault="003628A9" w:rsidP="009A1473">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fr-BE"/>
              </w:rPr>
            </w:pPr>
            <w:r w:rsidRPr="009A1473">
              <w:rPr>
                <w:rFonts w:ascii="Arial" w:hAnsi="Arial" w:cs="Arial"/>
                <w:spacing w:val="-1"/>
                <w:lang w:val="fr-BE"/>
              </w:rPr>
              <w:t xml:space="preserve">Péréquation à 38 heures par semaine : </w:t>
            </w:r>
          </w:p>
          <w:p w14:paraId="4CB14A76" w14:textId="5921D230" w:rsidR="00C34F4D" w:rsidRDefault="00C34F4D" w:rsidP="009A1473">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fr-BE"/>
              </w:rPr>
            </w:pPr>
            <w:r>
              <w:rPr>
                <w:rFonts w:ascii="Arial" w:hAnsi="Arial" w:cs="Arial"/>
                <w:spacing w:val="-1"/>
                <w:lang w:val="fr-BE"/>
              </w:rPr>
              <w:t>€ 0,6978933 x 40/38 = € 0,73462</w:t>
            </w:r>
            <w:bookmarkStart w:id="0" w:name="_GoBack"/>
            <w:bookmarkEnd w:id="0"/>
          </w:p>
          <w:p w14:paraId="698D2B25" w14:textId="4C5049EE" w:rsidR="003628A9" w:rsidRPr="006A3E90" w:rsidRDefault="00C34F4D" w:rsidP="009A1473">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lang w:val="fr-BE"/>
              </w:rPr>
            </w:pPr>
            <w:r>
              <w:rPr>
                <w:rFonts w:ascii="Arial" w:hAnsi="Arial" w:cs="Arial"/>
                <w:spacing w:val="-1"/>
                <w:lang w:val="fr-BE"/>
              </w:rPr>
              <w:t>A</w:t>
            </w:r>
            <w:r w:rsidR="003628A9" w:rsidRPr="009A1473">
              <w:rPr>
                <w:rFonts w:ascii="Arial" w:hAnsi="Arial" w:cs="Arial"/>
                <w:spacing w:val="-1"/>
                <w:lang w:val="fr-BE"/>
              </w:rPr>
              <w:t xml:space="preserve">près la péréquation, les chiffres au-delà de la quatrième décimale sont négligés et le montant appliqué est: </w:t>
            </w:r>
            <w:r w:rsidR="007328F2" w:rsidRPr="009A1473">
              <w:rPr>
                <w:rFonts w:ascii="Arial" w:hAnsi="Arial" w:cs="Arial"/>
                <w:spacing w:val="-1"/>
                <w:lang w:val="fr-BE"/>
              </w:rPr>
              <w:t xml:space="preserve">€ </w:t>
            </w:r>
            <w:r w:rsidR="003628A9" w:rsidRPr="009A1473">
              <w:rPr>
                <w:rFonts w:ascii="Arial" w:hAnsi="Arial" w:cs="Arial"/>
                <w:spacing w:val="-1"/>
                <w:lang w:val="fr-BE"/>
              </w:rPr>
              <w:t>0,</w:t>
            </w:r>
            <w:r w:rsidR="007328F2" w:rsidRPr="009A1473">
              <w:rPr>
                <w:rFonts w:ascii="Arial" w:hAnsi="Arial" w:cs="Arial"/>
                <w:spacing w:val="-1"/>
                <w:lang w:val="fr-BE"/>
              </w:rPr>
              <w:t>7346</w:t>
            </w:r>
            <w:r w:rsidR="003628A9" w:rsidRPr="009A1473">
              <w:rPr>
                <w:rFonts w:ascii="Arial" w:hAnsi="Arial" w:cs="Arial"/>
                <w:spacing w:val="-1"/>
                <w:lang w:val="fr-BE"/>
              </w:rPr>
              <w:t>.</w:t>
            </w:r>
          </w:p>
        </w:tc>
      </w:tr>
      <w:tr w:rsidR="003628A9" w:rsidRPr="006A3E90" w14:paraId="29555384" w14:textId="77777777" w:rsidTr="00C62C6B">
        <w:tc>
          <w:tcPr>
            <w:tcW w:w="4508" w:type="dxa"/>
          </w:tcPr>
          <w:p w14:paraId="5D08E568" w14:textId="6EC77FDD" w:rsidR="003628A9" w:rsidRPr="00AD5A30" w:rsidRDefault="003628A9" w:rsidP="00AD5A30">
            <w:pPr>
              <w:jc w:val="both"/>
              <w:rPr>
                <w:rFonts w:ascii="Arial" w:hAnsi="Arial" w:cs="Arial"/>
                <w:b/>
                <w:bCs/>
                <w:lang w:val="fr-BE"/>
              </w:rPr>
            </w:pPr>
            <w:r w:rsidRPr="00AD5A30">
              <w:rPr>
                <w:rFonts w:ascii="Arial" w:hAnsi="Arial" w:cs="Arial"/>
                <w:b/>
                <w:bCs/>
                <w:lang w:val="fr-BE"/>
              </w:rPr>
              <w:lastRenderedPageBreak/>
              <w:t>ARTIKEL</w:t>
            </w:r>
            <w:r w:rsidR="00AD5A30" w:rsidRPr="00AD5A30">
              <w:rPr>
                <w:rFonts w:ascii="Arial" w:hAnsi="Arial" w:cs="Arial"/>
                <w:b/>
                <w:bCs/>
                <w:lang w:val="fr-BE"/>
              </w:rPr>
              <w:t xml:space="preserve"> 4</w:t>
            </w:r>
          </w:p>
        </w:tc>
        <w:tc>
          <w:tcPr>
            <w:tcW w:w="4508" w:type="dxa"/>
          </w:tcPr>
          <w:p w14:paraId="3955BD8B" w14:textId="5A6371C0" w:rsidR="003628A9" w:rsidRPr="00AD5A30" w:rsidRDefault="003628A9" w:rsidP="00AD5A30">
            <w:pPr>
              <w:jc w:val="both"/>
              <w:rPr>
                <w:rFonts w:ascii="Arial" w:hAnsi="Arial" w:cs="Arial"/>
                <w:b/>
                <w:bCs/>
                <w:lang w:val="fr-BE"/>
              </w:rPr>
            </w:pPr>
            <w:r w:rsidRPr="00AD5A30">
              <w:rPr>
                <w:rFonts w:ascii="Arial" w:hAnsi="Arial" w:cs="Arial"/>
                <w:b/>
                <w:bCs/>
                <w:lang w:val="fr-BE"/>
              </w:rPr>
              <w:t>ARTICLE</w:t>
            </w:r>
            <w:r w:rsidR="00AD5A30" w:rsidRPr="00AD5A30">
              <w:rPr>
                <w:rFonts w:ascii="Arial" w:hAnsi="Arial" w:cs="Arial"/>
                <w:b/>
                <w:bCs/>
                <w:lang w:val="fr-BE"/>
              </w:rPr>
              <w:t xml:space="preserve"> 4</w:t>
            </w:r>
          </w:p>
        </w:tc>
      </w:tr>
      <w:tr w:rsidR="003628A9" w:rsidRPr="00C34F4D" w14:paraId="2CC125F1" w14:textId="77777777" w:rsidTr="00C62C6B">
        <w:tc>
          <w:tcPr>
            <w:tcW w:w="4508" w:type="dxa"/>
          </w:tcPr>
          <w:p w14:paraId="4971B682" w14:textId="5948A3EC" w:rsidR="003628A9" w:rsidRPr="006A3E90" w:rsidRDefault="003628A9" w:rsidP="00AD5A30">
            <w:pPr>
              <w:jc w:val="both"/>
              <w:rPr>
                <w:rFonts w:ascii="Arial" w:hAnsi="Arial" w:cs="Arial"/>
              </w:rPr>
            </w:pPr>
            <w:r w:rsidRPr="003434BF">
              <w:rPr>
                <w:rFonts w:ascii="Arial" w:hAnsi="Arial" w:cs="Arial"/>
                <w:spacing w:val="-1"/>
                <w:lang w:val="nl-NL"/>
              </w:rPr>
              <w:t xml:space="preserve">De ploegenpremies vastgelegd in artikel </w:t>
            </w:r>
            <w:r w:rsidR="00AD5A30">
              <w:rPr>
                <w:rFonts w:ascii="Arial" w:hAnsi="Arial" w:cs="Arial"/>
                <w:spacing w:val="-1"/>
                <w:lang w:val="nl-NL"/>
              </w:rPr>
              <w:t>2</w:t>
            </w:r>
            <w:r w:rsidRPr="003434BF">
              <w:rPr>
                <w:rFonts w:ascii="Arial" w:hAnsi="Arial" w:cs="Arial"/>
                <w:spacing w:val="-1"/>
                <w:lang w:val="nl-NL"/>
              </w:rPr>
              <w:t>, die overeenstemmen met spilindexcijfer 100,23 (basis 2013 = 100), zijn gekoppeld aan het indexcijfer van de consumptieprijzen, overeenkomstig de bepalingen van de</w:t>
            </w:r>
            <w:r>
              <w:rPr>
                <w:rFonts w:ascii="Arial" w:hAnsi="Arial" w:cs="Arial"/>
                <w:spacing w:val="-1"/>
                <w:lang w:val="nl-NL"/>
              </w:rPr>
              <w:t xml:space="preserve"> CAO </w:t>
            </w:r>
            <w:r w:rsidRPr="003434BF">
              <w:rPr>
                <w:rFonts w:ascii="Arial" w:hAnsi="Arial" w:cs="Arial"/>
                <w:spacing w:val="-1"/>
                <w:lang w:val="nl-NL"/>
              </w:rPr>
              <w:t>van 12 februari 2014 (nr. 120793/CO/116) gesloten in het Paritair Comité voor de scheikundige nijverheid, tot koppeling van de lonen aan het indexcijfer van de consumptieprijzen; de ploegenpremies worden uitgedrukt tot de vierde decimaal, maar het resultaat wordt niet afgerond</w:t>
            </w:r>
          </w:p>
        </w:tc>
        <w:tc>
          <w:tcPr>
            <w:tcW w:w="4508" w:type="dxa"/>
          </w:tcPr>
          <w:p w14:paraId="2A7384FA" w14:textId="23F528BB" w:rsidR="003628A9" w:rsidRPr="006A3E90" w:rsidRDefault="003628A9" w:rsidP="00AD5A30">
            <w:pPr>
              <w:jc w:val="both"/>
              <w:rPr>
                <w:rFonts w:ascii="Arial" w:hAnsi="Arial" w:cs="Arial"/>
                <w:lang w:val="fr-BE"/>
              </w:rPr>
            </w:pPr>
            <w:r w:rsidRPr="003434BF">
              <w:rPr>
                <w:rFonts w:ascii="Arial" w:hAnsi="Arial" w:cs="Arial"/>
                <w:spacing w:val="-1"/>
                <w:lang w:val="fr-FR"/>
              </w:rPr>
              <w:t xml:space="preserve">Les primes d’équipes fixées à l’article </w:t>
            </w:r>
            <w:r w:rsidR="00AD5A30">
              <w:rPr>
                <w:rFonts w:ascii="Arial" w:hAnsi="Arial" w:cs="Arial"/>
                <w:spacing w:val="-1"/>
                <w:lang w:val="fr-FR"/>
              </w:rPr>
              <w:t>2</w:t>
            </w:r>
            <w:r>
              <w:rPr>
                <w:rFonts w:ascii="Arial" w:hAnsi="Arial" w:cs="Arial"/>
                <w:spacing w:val="-1"/>
                <w:lang w:val="fr-FR"/>
              </w:rPr>
              <w:t>,</w:t>
            </w:r>
            <w:r w:rsidRPr="003434BF">
              <w:rPr>
                <w:rFonts w:ascii="Arial" w:hAnsi="Arial" w:cs="Arial"/>
                <w:spacing w:val="-1"/>
                <w:lang w:val="fr-FR"/>
              </w:rPr>
              <w:t xml:space="preserve"> qui correspondent à l’indice pivot 100,23 (base 2013 = 100), sont liées à l’indice des prix à la consommation, conformément aux dispositions de la </w:t>
            </w:r>
            <w:r>
              <w:rPr>
                <w:rFonts w:ascii="Arial" w:hAnsi="Arial" w:cs="Arial"/>
                <w:spacing w:val="-1"/>
                <w:lang w:val="fr-FR"/>
              </w:rPr>
              <w:t>CCT du 12 février 2014 (n°</w:t>
            </w:r>
            <w:r w:rsidRPr="003434BF">
              <w:rPr>
                <w:rFonts w:ascii="Arial" w:hAnsi="Arial" w:cs="Arial"/>
                <w:spacing w:val="-1"/>
                <w:lang w:val="fr-FR"/>
              </w:rPr>
              <w:t>120793/CO/116), conclue au sein de la Commission Paritaire de l’industrie chimique, liant les salaires à l’indice des prix à la consommation</w:t>
            </w:r>
            <w:r w:rsidR="00B87AC8">
              <w:rPr>
                <w:rFonts w:ascii="Arial" w:hAnsi="Arial" w:cs="Arial"/>
                <w:spacing w:val="-1"/>
                <w:lang w:val="fr-FR"/>
              </w:rPr>
              <w:t xml:space="preserve"> </w:t>
            </w:r>
            <w:r w:rsidRPr="003434BF">
              <w:rPr>
                <w:rFonts w:ascii="Arial" w:hAnsi="Arial" w:cs="Arial"/>
                <w:spacing w:val="-1"/>
                <w:lang w:val="fr-FR"/>
              </w:rPr>
              <w:t>; les primes d’équipes sont exprimées jusqu’à la quatrième décimale, mais le résultat n’est pas arrondi.</w:t>
            </w:r>
          </w:p>
        </w:tc>
      </w:tr>
      <w:tr w:rsidR="003628A9" w:rsidRPr="006A3E90" w14:paraId="6EAA27C4" w14:textId="77777777" w:rsidTr="00C62C6B">
        <w:tc>
          <w:tcPr>
            <w:tcW w:w="4508" w:type="dxa"/>
          </w:tcPr>
          <w:p w14:paraId="08D94E18" w14:textId="69010F33" w:rsidR="003628A9" w:rsidRPr="00AD5A30" w:rsidRDefault="003628A9" w:rsidP="00AD5A30">
            <w:pPr>
              <w:jc w:val="both"/>
              <w:rPr>
                <w:rFonts w:ascii="Arial" w:hAnsi="Arial" w:cs="Arial"/>
                <w:b/>
                <w:bCs/>
                <w:lang w:val="fr-BE"/>
              </w:rPr>
            </w:pPr>
            <w:r w:rsidRPr="00AD5A30">
              <w:rPr>
                <w:rFonts w:ascii="Arial" w:hAnsi="Arial" w:cs="Arial"/>
                <w:b/>
                <w:bCs/>
                <w:lang w:val="fr-BE"/>
              </w:rPr>
              <w:t>ARTIKEL</w:t>
            </w:r>
            <w:r w:rsidR="00AD5A30" w:rsidRPr="00AD5A30">
              <w:rPr>
                <w:rFonts w:ascii="Arial" w:hAnsi="Arial" w:cs="Arial"/>
                <w:b/>
                <w:bCs/>
                <w:lang w:val="fr-BE"/>
              </w:rPr>
              <w:t xml:space="preserve"> 5</w:t>
            </w:r>
          </w:p>
        </w:tc>
        <w:tc>
          <w:tcPr>
            <w:tcW w:w="4508" w:type="dxa"/>
          </w:tcPr>
          <w:p w14:paraId="1395A365" w14:textId="6947BC60" w:rsidR="003628A9" w:rsidRPr="00AD5A30" w:rsidRDefault="003628A9" w:rsidP="00AD5A30">
            <w:pPr>
              <w:jc w:val="both"/>
              <w:rPr>
                <w:rFonts w:ascii="Arial" w:hAnsi="Arial" w:cs="Arial"/>
                <w:b/>
                <w:bCs/>
                <w:lang w:val="fr-BE"/>
              </w:rPr>
            </w:pPr>
            <w:r w:rsidRPr="00AD5A30">
              <w:rPr>
                <w:rFonts w:ascii="Arial" w:hAnsi="Arial" w:cs="Arial"/>
                <w:b/>
                <w:bCs/>
                <w:lang w:val="fr-BE"/>
              </w:rPr>
              <w:t>ARTICLE</w:t>
            </w:r>
            <w:r w:rsidR="00AD5A30" w:rsidRPr="00AD5A30">
              <w:rPr>
                <w:rFonts w:ascii="Arial" w:hAnsi="Arial" w:cs="Arial"/>
                <w:b/>
                <w:bCs/>
                <w:lang w:val="fr-BE"/>
              </w:rPr>
              <w:t xml:space="preserve"> 5</w:t>
            </w:r>
          </w:p>
        </w:tc>
      </w:tr>
      <w:tr w:rsidR="003628A9" w:rsidRPr="00C34F4D" w14:paraId="4B102D4B" w14:textId="77777777" w:rsidTr="00C62C6B">
        <w:tc>
          <w:tcPr>
            <w:tcW w:w="4508" w:type="dxa"/>
          </w:tcPr>
          <w:p w14:paraId="10C46E63" w14:textId="4AABC360" w:rsidR="003628A9" w:rsidRPr="006A3E90" w:rsidRDefault="003628A9" w:rsidP="00AD5A30">
            <w:pPr>
              <w:jc w:val="both"/>
              <w:rPr>
                <w:rFonts w:ascii="Arial" w:hAnsi="Arial" w:cs="Arial"/>
              </w:rPr>
            </w:pPr>
            <w:r w:rsidRPr="003434BF">
              <w:rPr>
                <w:rFonts w:ascii="Arial" w:hAnsi="Arial" w:cs="Arial"/>
                <w:spacing w:val="-1"/>
                <w:lang w:val="nl-NL"/>
              </w:rPr>
              <w:t>De gunstiger stelsels die in de ondernemingen bestaan, blijven behouden</w:t>
            </w:r>
            <w:r w:rsidR="00202B64">
              <w:rPr>
                <w:rFonts w:ascii="Arial" w:hAnsi="Arial" w:cs="Arial"/>
                <w:spacing w:val="-1"/>
                <w:lang w:val="nl-NL"/>
              </w:rPr>
              <w:t>.</w:t>
            </w:r>
          </w:p>
        </w:tc>
        <w:tc>
          <w:tcPr>
            <w:tcW w:w="4508" w:type="dxa"/>
          </w:tcPr>
          <w:p w14:paraId="5ACB79E5" w14:textId="0F286095" w:rsidR="003628A9" w:rsidRPr="006A3E90" w:rsidRDefault="003628A9" w:rsidP="00AD5A30">
            <w:pPr>
              <w:jc w:val="both"/>
              <w:rPr>
                <w:rFonts w:ascii="Arial" w:hAnsi="Arial" w:cs="Arial"/>
                <w:lang w:val="fr-BE"/>
              </w:rPr>
            </w:pPr>
            <w:r w:rsidRPr="003434BF">
              <w:rPr>
                <w:rFonts w:ascii="Arial" w:hAnsi="Arial" w:cs="Arial"/>
                <w:spacing w:val="-1"/>
                <w:lang w:val="fr-FR"/>
              </w:rPr>
              <w:t>Les régimes plus favorables existant</w:t>
            </w:r>
            <w:r w:rsidR="00B87AC8">
              <w:rPr>
                <w:rFonts w:ascii="Arial" w:hAnsi="Arial" w:cs="Arial"/>
                <w:spacing w:val="-1"/>
                <w:lang w:val="fr-FR"/>
              </w:rPr>
              <w:t>s</w:t>
            </w:r>
            <w:r w:rsidRPr="003434BF">
              <w:rPr>
                <w:rFonts w:ascii="Arial" w:hAnsi="Arial" w:cs="Arial"/>
                <w:spacing w:val="-1"/>
                <w:lang w:val="fr-FR"/>
              </w:rPr>
              <w:t xml:space="preserve"> dans les entreprises demeurent d’application.</w:t>
            </w:r>
          </w:p>
        </w:tc>
      </w:tr>
      <w:tr w:rsidR="003628A9" w:rsidRPr="008D702B" w14:paraId="74DF8FA5" w14:textId="77777777" w:rsidTr="00C62C6B">
        <w:tc>
          <w:tcPr>
            <w:tcW w:w="4508" w:type="dxa"/>
          </w:tcPr>
          <w:p w14:paraId="46A66DB0" w14:textId="660498C2" w:rsidR="003628A9" w:rsidRPr="008D702B" w:rsidRDefault="003628A9" w:rsidP="00AD5A30">
            <w:pPr>
              <w:jc w:val="both"/>
              <w:rPr>
                <w:rFonts w:ascii="Arial" w:hAnsi="Arial" w:cs="Arial"/>
                <w:b/>
                <w:bCs/>
                <w:lang w:val="fr-BE"/>
              </w:rPr>
            </w:pPr>
            <w:r w:rsidRPr="008D702B">
              <w:rPr>
                <w:rFonts w:ascii="Arial" w:hAnsi="Arial" w:cs="Arial"/>
                <w:b/>
                <w:bCs/>
                <w:lang w:val="fr-BE"/>
              </w:rPr>
              <w:t xml:space="preserve">ARTIKEL </w:t>
            </w:r>
            <w:r w:rsidR="00AD5A30">
              <w:rPr>
                <w:rFonts w:ascii="Arial" w:hAnsi="Arial" w:cs="Arial"/>
                <w:b/>
                <w:bCs/>
                <w:lang w:val="fr-BE"/>
              </w:rPr>
              <w:t>6</w:t>
            </w:r>
          </w:p>
        </w:tc>
        <w:tc>
          <w:tcPr>
            <w:tcW w:w="4508" w:type="dxa"/>
          </w:tcPr>
          <w:p w14:paraId="79CAD1CD" w14:textId="19CFE3FC" w:rsidR="003628A9" w:rsidRPr="008D702B" w:rsidRDefault="003628A9" w:rsidP="00AD5A30">
            <w:pPr>
              <w:jc w:val="both"/>
              <w:rPr>
                <w:rFonts w:ascii="Arial" w:hAnsi="Arial" w:cs="Arial"/>
                <w:b/>
                <w:bCs/>
                <w:lang w:val="fr-BE"/>
              </w:rPr>
            </w:pPr>
            <w:r w:rsidRPr="008D702B">
              <w:rPr>
                <w:rFonts w:ascii="Arial" w:hAnsi="Arial" w:cs="Arial"/>
                <w:b/>
                <w:bCs/>
                <w:lang w:val="fr-BE"/>
              </w:rPr>
              <w:t xml:space="preserve">ARTICLE </w:t>
            </w:r>
            <w:r w:rsidR="00AD5A30">
              <w:rPr>
                <w:rFonts w:ascii="Arial" w:hAnsi="Arial" w:cs="Arial"/>
                <w:b/>
                <w:bCs/>
                <w:lang w:val="fr-BE"/>
              </w:rPr>
              <w:t>6</w:t>
            </w:r>
          </w:p>
        </w:tc>
      </w:tr>
      <w:tr w:rsidR="003628A9" w:rsidRPr="00C34F4D" w14:paraId="31FF37DD" w14:textId="77777777" w:rsidTr="00C62C6B">
        <w:tc>
          <w:tcPr>
            <w:tcW w:w="4508" w:type="dxa"/>
          </w:tcPr>
          <w:p w14:paraId="3F96959E" w14:textId="5163D414" w:rsidR="003628A9" w:rsidRDefault="003628A9" w:rsidP="00AD5A30">
            <w:pPr>
              <w:pStyle w:val="NormalWeb"/>
              <w:shd w:val="clear" w:color="auto" w:fill="FFFFFF"/>
              <w:spacing w:before="0" w:beforeAutospacing="0" w:after="150" w:afterAutospacing="0" w:line="260" w:lineRule="exact"/>
              <w:jc w:val="both"/>
              <w:rPr>
                <w:rFonts w:ascii="Arial" w:hAnsi="Arial" w:cs="Arial"/>
                <w:sz w:val="22"/>
                <w:szCs w:val="22"/>
              </w:rPr>
            </w:pPr>
            <w:r w:rsidRPr="007849D5">
              <w:rPr>
                <w:rFonts w:ascii="Arial" w:hAnsi="Arial" w:cs="Arial"/>
                <w:sz w:val="22"/>
                <w:szCs w:val="22"/>
              </w:rPr>
              <w:t xml:space="preserve">Deze </w:t>
            </w:r>
            <w:r w:rsidR="006F72A1">
              <w:rPr>
                <w:rFonts w:ascii="Arial" w:hAnsi="Arial" w:cs="Arial"/>
                <w:sz w:val="22"/>
                <w:szCs w:val="22"/>
              </w:rPr>
              <w:t xml:space="preserve">CAO </w:t>
            </w:r>
            <w:r w:rsidRPr="007849D5">
              <w:rPr>
                <w:rFonts w:ascii="Arial" w:hAnsi="Arial" w:cs="Arial"/>
                <w:sz w:val="22"/>
                <w:szCs w:val="22"/>
              </w:rPr>
              <w:t xml:space="preserve">is gesloten voor </w:t>
            </w:r>
            <w:r>
              <w:rPr>
                <w:rFonts w:ascii="Arial" w:hAnsi="Arial" w:cs="Arial"/>
                <w:sz w:val="22"/>
                <w:szCs w:val="22"/>
              </w:rPr>
              <w:t>on</w:t>
            </w:r>
            <w:r w:rsidRPr="007849D5">
              <w:rPr>
                <w:rFonts w:ascii="Arial" w:hAnsi="Arial" w:cs="Arial"/>
                <w:sz w:val="22"/>
                <w:szCs w:val="22"/>
              </w:rPr>
              <w:t>bepaalde duur</w:t>
            </w:r>
            <w:r>
              <w:rPr>
                <w:rFonts w:ascii="Arial" w:hAnsi="Arial" w:cs="Arial"/>
                <w:sz w:val="22"/>
                <w:szCs w:val="22"/>
              </w:rPr>
              <w:t xml:space="preserve">. </w:t>
            </w:r>
          </w:p>
          <w:p w14:paraId="0EF69ECD" w14:textId="77777777" w:rsidR="003628A9" w:rsidRPr="003434BF" w:rsidRDefault="003628A9"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r w:rsidRPr="003434BF">
              <w:rPr>
                <w:rFonts w:ascii="Arial" w:hAnsi="Arial" w:cs="Arial"/>
                <w:spacing w:val="-1"/>
                <w:lang w:val="nl-NL"/>
              </w:rPr>
              <w:t>Zij vervangt de</w:t>
            </w:r>
            <w:r>
              <w:rPr>
                <w:rFonts w:ascii="Arial" w:hAnsi="Arial" w:cs="Arial"/>
                <w:spacing w:val="-1"/>
                <w:lang w:val="nl-NL"/>
              </w:rPr>
              <w:t xml:space="preserve"> CAO</w:t>
            </w:r>
            <w:r w:rsidRPr="003434BF">
              <w:rPr>
                <w:rFonts w:ascii="Arial" w:hAnsi="Arial" w:cs="Arial"/>
                <w:spacing w:val="-1"/>
                <w:lang w:val="nl-NL"/>
              </w:rPr>
              <w:t xml:space="preserve"> </w:t>
            </w:r>
            <w:r>
              <w:rPr>
                <w:rFonts w:ascii="Arial" w:hAnsi="Arial" w:cs="Arial"/>
                <w:spacing w:val="-1"/>
                <w:lang w:val="nl-NL"/>
              </w:rPr>
              <w:t xml:space="preserve">17 mei 2017 </w:t>
            </w:r>
            <w:r w:rsidRPr="003434BF">
              <w:rPr>
                <w:rFonts w:ascii="Arial" w:hAnsi="Arial" w:cs="Arial"/>
                <w:spacing w:val="-1"/>
                <w:lang w:val="nl-NL"/>
              </w:rPr>
              <w:t xml:space="preserve">(nr.  </w:t>
            </w:r>
            <w:r>
              <w:rPr>
                <w:rFonts w:ascii="Arial" w:eastAsiaTheme="minorEastAsia" w:hAnsi="Arial" w:cs="Arial"/>
                <w:spacing w:val="-1"/>
                <w:lang w:val="nl-NL" w:eastAsia="zh-CN"/>
              </w:rPr>
              <w:t>1</w:t>
            </w:r>
            <w:r w:rsidRPr="004579C8">
              <w:rPr>
                <w:rFonts w:ascii="Arial" w:eastAsiaTheme="minorEastAsia" w:hAnsi="Arial" w:cs="Arial"/>
                <w:spacing w:val="-1"/>
                <w:lang w:val="nl-NL" w:eastAsia="zh-CN"/>
              </w:rPr>
              <w:t>40253</w:t>
            </w:r>
            <w:r>
              <w:rPr>
                <w:rFonts w:ascii="Arial" w:eastAsiaTheme="minorEastAsia" w:hAnsi="Arial" w:cs="Arial"/>
                <w:spacing w:val="-1"/>
                <w:lang w:val="nl-NL" w:eastAsia="zh-CN"/>
              </w:rPr>
              <w:t>/</w:t>
            </w:r>
            <w:r w:rsidRPr="003434BF">
              <w:rPr>
                <w:rFonts w:ascii="Arial" w:hAnsi="Arial" w:cs="Arial"/>
                <w:spacing w:val="-1"/>
                <w:lang w:val="nl-NL"/>
              </w:rPr>
              <w:t>CO/</w:t>
            </w:r>
            <w:r>
              <w:rPr>
                <w:rFonts w:ascii="Arial" w:hAnsi="Arial" w:cs="Arial"/>
                <w:spacing w:val="-1"/>
                <w:lang w:val="nl-NL"/>
              </w:rPr>
              <w:t>116</w:t>
            </w:r>
            <w:r w:rsidRPr="003434BF">
              <w:rPr>
                <w:rFonts w:ascii="Arial" w:hAnsi="Arial" w:cs="Arial"/>
                <w:spacing w:val="-1"/>
                <w:lang w:val="nl-NL"/>
              </w:rPr>
              <w:t>) gesloten in het Paritair Comité voor de scheikundige nijverheid betreffende de ploegenpremies en treedt in werking op 1 </w:t>
            </w:r>
            <w:r>
              <w:rPr>
                <w:rFonts w:ascii="Arial" w:hAnsi="Arial" w:cs="Arial"/>
                <w:spacing w:val="-1"/>
                <w:lang w:val="nl-NL"/>
              </w:rPr>
              <w:t>juli 2019</w:t>
            </w:r>
            <w:r w:rsidRPr="003434BF">
              <w:rPr>
                <w:rFonts w:ascii="Arial" w:hAnsi="Arial" w:cs="Arial"/>
                <w:spacing w:val="-1"/>
                <w:lang w:val="nl-NL"/>
              </w:rPr>
              <w:t>.</w:t>
            </w:r>
          </w:p>
          <w:p w14:paraId="2636CE21" w14:textId="77777777" w:rsidR="003628A9" w:rsidRDefault="003628A9"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p>
          <w:p w14:paraId="1F8E8F8C" w14:textId="77777777" w:rsidR="003628A9" w:rsidRPr="003434BF" w:rsidRDefault="003628A9" w:rsidP="00AD5A30">
            <w:pPr>
              <w:tabs>
                <w:tab w:val="left" w:pos="299"/>
                <w:tab w:val="left" w:pos="432"/>
                <w:tab w:val="left" w:pos="907"/>
                <w:tab w:val="left" w:pos="1051"/>
                <w:tab w:val="left" w:pos="1314"/>
                <w:tab w:val="left" w:pos="1512"/>
                <w:tab w:val="left" w:pos="1701"/>
                <w:tab w:val="left" w:pos="1728"/>
                <w:tab w:val="left" w:pos="2304"/>
                <w:tab w:val="left" w:pos="2552"/>
                <w:tab w:val="left" w:pos="3024"/>
                <w:tab w:val="left" w:pos="3124"/>
                <w:tab w:val="left" w:pos="3240"/>
                <w:tab w:val="left" w:pos="4798"/>
                <w:tab w:val="left" w:pos="6138"/>
              </w:tabs>
              <w:suppressAutoHyphens/>
              <w:jc w:val="both"/>
              <w:rPr>
                <w:rFonts w:ascii="Arial" w:hAnsi="Arial" w:cs="Arial"/>
                <w:spacing w:val="-1"/>
                <w:lang w:val="nl-NL"/>
              </w:rPr>
            </w:pPr>
            <w:r w:rsidRPr="003434BF">
              <w:rPr>
                <w:rFonts w:ascii="Arial" w:hAnsi="Arial" w:cs="Arial"/>
                <w:spacing w:val="-1"/>
                <w:lang w:val="nl-NL"/>
              </w:rPr>
              <w:t>Zij kan door elk der partijen worden opgezegd mits een opzegging van drie maanden, betekend bij een ter post aangetekende brief, gericht aan de voorzitter van het Paritair Comité voor de scheikundige nijverheid. De termijn van drie maanden begint te lopen vanaf de datum waarop de aangetekende brief aan de voorzitter wordt toegezonden. De poststempel geldt als bewijs.</w:t>
            </w:r>
          </w:p>
          <w:p w14:paraId="3B25B33E" w14:textId="77777777" w:rsidR="003628A9" w:rsidRDefault="003628A9" w:rsidP="00AD5A30">
            <w:pPr>
              <w:jc w:val="both"/>
              <w:rPr>
                <w:rFonts w:ascii="Arial" w:hAnsi="Arial" w:cs="Arial"/>
              </w:rPr>
            </w:pPr>
          </w:p>
          <w:p w14:paraId="305A3302" w14:textId="70D6BD8D" w:rsidR="003628A9" w:rsidRPr="008D702B" w:rsidRDefault="003628A9" w:rsidP="00AD5A30">
            <w:pPr>
              <w:jc w:val="both"/>
              <w:rPr>
                <w:rFonts w:ascii="Arial" w:hAnsi="Arial" w:cs="Arial"/>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w:t>
            </w:r>
            <w:r w:rsidRPr="007849D5">
              <w:rPr>
                <w:rFonts w:ascii="Arial" w:hAnsi="Arial" w:cs="Arial"/>
              </w:rPr>
              <w:lastRenderedPageBreak/>
              <w:t>verbindende kracht bij koninklijk besluit wordt gevraagd.</w:t>
            </w:r>
            <w:r w:rsidR="00B1164E">
              <w:rPr>
                <w:rFonts w:ascii="Arial" w:hAnsi="Arial" w:cs="Arial"/>
              </w:rPr>
              <w:t xml:space="preserve"> </w:t>
            </w:r>
          </w:p>
        </w:tc>
        <w:tc>
          <w:tcPr>
            <w:tcW w:w="4508" w:type="dxa"/>
          </w:tcPr>
          <w:p w14:paraId="0F639345" w14:textId="77777777" w:rsidR="003628A9" w:rsidRDefault="003628A9" w:rsidP="00AD5A30">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sidRPr="007849D5">
              <w:rPr>
                <w:rFonts w:ascii="Arial" w:hAnsi="Arial" w:cs="Arial"/>
                <w:spacing w:val="-1"/>
                <w:lang w:val="fr-FR"/>
              </w:rPr>
              <w:lastRenderedPageBreak/>
              <w:t xml:space="preserve">La présente </w:t>
            </w:r>
            <w:r>
              <w:rPr>
                <w:rFonts w:ascii="Arial" w:hAnsi="Arial" w:cs="Arial"/>
                <w:spacing w:val="-1"/>
                <w:lang w:val="fr-FR"/>
              </w:rPr>
              <w:t xml:space="preserve">CCT </w:t>
            </w:r>
            <w:r w:rsidRPr="007849D5">
              <w:rPr>
                <w:rFonts w:ascii="Arial" w:hAnsi="Arial" w:cs="Arial"/>
                <w:spacing w:val="-1"/>
                <w:lang w:val="fr-FR"/>
              </w:rPr>
              <w:t xml:space="preserve">est conclue pour une durée </w:t>
            </w:r>
            <w:r>
              <w:rPr>
                <w:rFonts w:ascii="Arial" w:hAnsi="Arial" w:cs="Arial"/>
                <w:spacing w:val="-1"/>
                <w:lang w:val="fr-FR"/>
              </w:rPr>
              <w:t>in</w:t>
            </w:r>
            <w:r w:rsidRPr="007849D5">
              <w:rPr>
                <w:rFonts w:ascii="Arial" w:hAnsi="Arial" w:cs="Arial"/>
                <w:spacing w:val="-1"/>
                <w:lang w:val="fr-FR"/>
              </w:rPr>
              <w:t xml:space="preserve">déterminée. </w:t>
            </w:r>
            <w:r w:rsidRPr="003434BF">
              <w:rPr>
                <w:rFonts w:ascii="Arial" w:hAnsi="Arial" w:cs="Arial"/>
                <w:spacing w:val="-1"/>
                <w:lang w:val="fr-FR"/>
              </w:rPr>
              <w:t xml:space="preserve">Elle remplace la </w:t>
            </w:r>
            <w:r>
              <w:rPr>
                <w:rFonts w:ascii="Arial" w:hAnsi="Arial" w:cs="Arial"/>
                <w:spacing w:val="-1"/>
                <w:lang w:val="fr-FR"/>
              </w:rPr>
              <w:t xml:space="preserve">CCT </w:t>
            </w:r>
            <w:r w:rsidRPr="003434BF">
              <w:rPr>
                <w:rFonts w:ascii="Arial" w:hAnsi="Arial" w:cs="Arial"/>
                <w:spacing w:val="-1"/>
                <w:lang w:val="fr-FR"/>
              </w:rPr>
              <w:t xml:space="preserve"> du </w:t>
            </w:r>
            <w:r>
              <w:rPr>
                <w:rFonts w:ascii="Arial" w:hAnsi="Arial" w:cs="Arial"/>
                <w:spacing w:val="-1"/>
                <w:lang w:val="fr-FR"/>
              </w:rPr>
              <w:t>17 mai 2017 (n°140253</w:t>
            </w:r>
            <w:r w:rsidRPr="003434BF">
              <w:rPr>
                <w:rFonts w:ascii="Arial" w:hAnsi="Arial" w:cs="Arial"/>
                <w:spacing w:val="-1"/>
                <w:lang w:val="fr-FR"/>
              </w:rPr>
              <w:t>/CO/</w:t>
            </w:r>
            <w:r>
              <w:rPr>
                <w:rFonts w:ascii="Arial" w:hAnsi="Arial" w:cs="Arial"/>
                <w:spacing w:val="-1"/>
                <w:lang w:val="fr-FR"/>
              </w:rPr>
              <w:t>116</w:t>
            </w:r>
            <w:r w:rsidRPr="003434BF">
              <w:rPr>
                <w:rFonts w:ascii="Arial" w:hAnsi="Arial" w:cs="Arial"/>
                <w:spacing w:val="-1"/>
                <w:lang w:val="fr-FR"/>
              </w:rPr>
              <w:t>) relative aux primes d’équipes, conclue au sein de la Commission Paritaire de l’industrie chimique, et entre en vigueur le 1</w:t>
            </w:r>
            <w:r w:rsidRPr="003434BF">
              <w:rPr>
                <w:rFonts w:ascii="Arial" w:hAnsi="Arial" w:cs="Arial"/>
                <w:spacing w:val="-1"/>
                <w:vertAlign w:val="superscript"/>
                <w:lang w:val="fr-FR"/>
              </w:rPr>
              <w:t>er</w:t>
            </w:r>
            <w:r w:rsidRPr="003434BF">
              <w:rPr>
                <w:rFonts w:ascii="Arial" w:hAnsi="Arial" w:cs="Arial"/>
                <w:spacing w:val="-1"/>
                <w:lang w:val="fr-FR"/>
              </w:rPr>
              <w:t> </w:t>
            </w:r>
            <w:r>
              <w:rPr>
                <w:rFonts w:ascii="Arial" w:hAnsi="Arial" w:cs="Arial"/>
                <w:spacing w:val="-1"/>
                <w:lang w:val="fr-FR"/>
              </w:rPr>
              <w:t>juillet 2019</w:t>
            </w:r>
            <w:r w:rsidRPr="003434BF">
              <w:rPr>
                <w:rFonts w:ascii="Arial" w:hAnsi="Arial" w:cs="Arial"/>
                <w:spacing w:val="-1"/>
                <w:lang w:val="fr-FR"/>
              </w:rPr>
              <w:t>.</w:t>
            </w:r>
          </w:p>
          <w:p w14:paraId="7A1572BD" w14:textId="77777777" w:rsidR="003628A9" w:rsidRPr="007849D5" w:rsidRDefault="003628A9" w:rsidP="00AD5A30">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p>
          <w:p w14:paraId="23DFB11A" w14:textId="77777777" w:rsidR="003628A9" w:rsidRPr="003434BF" w:rsidRDefault="003628A9" w:rsidP="00AD5A30">
            <w:pPr>
              <w:tabs>
                <w:tab w:val="left" w:pos="432"/>
                <w:tab w:val="left" w:pos="907"/>
                <w:tab w:val="left" w:pos="1020"/>
                <w:tab w:val="left" w:pos="1728"/>
                <w:tab w:val="left" w:pos="2410"/>
                <w:tab w:val="left" w:pos="2808"/>
                <w:tab w:val="left" w:pos="3124"/>
                <w:tab w:val="left" w:pos="4798"/>
                <w:tab w:val="left" w:pos="6138"/>
              </w:tabs>
              <w:suppressAutoHyphens/>
              <w:jc w:val="both"/>
              <w:rPr>
                <w:rFonts w:ascii="Arial" w:hAnsi="Arial" w:cs="Arial"/>
                <w:spacing w:val="-1"/>
                <w:lang w:val="fr-FR"/>
              </w:rPr>
            </w:pPr>
            <w:r w:rsidRPr="003434BF">
              <w:rPr>
                <w:rFonts w:ascii="Arial" w:hAnsi="Arial" w:cs="Arial"/>
                <w:spacing w:val="-1"/>
                <w:lang w:val="fr-FR"/>
              </w:rPr>
              <w:t>Elle peut être dénoncée par chacune des parties, moyennant un préavis de trois mois adressé par lettre recommandée au président de la Commission Paritaire de l’industrie chimique. Le délai de trois mois prend cours à partir de la date à laquelle la lettre recommandée est envoyée au président, le cachet de la poste faisant foi.</w:t>
            </w:r>
          </w:p>
          <w:p w14:paraId="5799F069" w14:textId="77777777" w:rsidR="003628A9" w:rsidRDefault="003628A9" w:rsidP="00AD5A30">
            <w:pPr>
              <w:jc w:val="both"/>
              <w:rPr>
                <w:rFonts w:ascii="Arial" w:hAnsi="Arial" w:cs="Arial"/>
                <w:spacing w:val="-1"/>
                <w:lang w:val="fr-FR"/>
              </w:rPr>
            </w:pPr>
          </w:p>
          <w:p w14:paraId="47A8CE4D" w14:textId="4B80FF5C" w:rsidR="003628A9" w:rsidRPr="008D702B" w:rsidRDefault="003628A9" w:rsidP="00AD5A30">
            <w:pPr>
              <w:jc w:val="both"/>
              <w:rPr>
                <w:rFonts w:ascii="Arial" w:hAnsi="Arial" w:cs="Arial"/>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B87AC8">
              <w:rPr>
                <w:rFonts w:ascii="Arial" w:hAnsi="Arial" w:cs="Arial"/>
                <w:spacing w:val="-1"/>
                <w:lang w:val="fr-FR"/>
              </w:rPr>
              <w:t>G</w:t>
            </w:r>
            <w:r w:rsidRPr="007849D5">
              <w:rPr>
                <w:rFonts w:ascii="Arial" w:hAnsi="Arial" w:cs="Arial"/>
                <w:spacing w:val="-1"/>
                <w:lang w:val="fr-FR"/>
              </w:rPr>
              <w:t xml:space="preserve">énérale Relations </w:t>
            </w:r>
            <w:r w:rsidR="00B87AC8">
              <w:rPr>
                <w:rFonts w:ascii="Arial" w:hAnsi="Arial" w:cs="Arial"/>
                <w:spacing w:val="-1"/>
                <w:lang w:val="fr-FR"/>
              </w:rPr>
              <w:t>C</w:t>
            </w:r>
            <w:r w:rsidRPr="007849D5">
              <w:rPr>
                <w:rFonts w:ascii="Arial" w:hAnsi="Arial" w:cs="Arial"/>
                <w:spacing w:val="-1"/>
                <w:lang w:val="fr-FR"/>
              </w:rPr>
              <w:t xml:space="preserve">ollectives de </w:t>
            </w:r>
            <w:r w:rsidR="00B87AC8">
              <w:rPr>
                <w:rFonts w:ascii="Arial" w:hAnsi="Arial" w:cs="Arial"/>
                <w:spacing w:val="-1"/>
                <w:lang w:val="fr-FR"/>
              </w:rPr>
              <w:t>T</w:t>
            </w:r>
            <w:r w:rsidRPr="007849D5">
              <w:rPr>
                <w:rFonts w:ascii="Arial" w:hAnsi="Arial" w:cs="Arial"/>
                <w:spacing w:val="-1"/>
                <w:lang w:val="fr-FR"/>
              </w:rPr>
              <w:t xml:space="preserve">ravail du Service </w:t>
            </w:r>
            <w:r w:rsidR="00B87AC8">
              <w:rPr>
                <w:rFonts w:ascii="Arial" w:hAnsi="Arial" w:cs="Arial"/>
                <w:spacing w:val="-1"/>
                <w:lang w:val="fr-FR"/>
              </w:rPr>
              <w:t>P</w:t>
            </w:r>
            <w:r w:rsidRPr="007849D5">
              <w:rPr>
                <w:rFonts w:ascii="Arial" w:hAnsi="Arial" w:cs="Arial"/>
                <w:spacing w:val="-1"/>
                <w:lang w:val="fr-FR"/>
              </w:rPr>
              <w:t xml:space="preserve">ublic </w:t>
            </w:r>
            <w:r w:rsidR="00B87AC8">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r w:rsidR="00B87AC8">
              <w:rPr>
                <w:rFonts w:ascii="Arial" w:hAnsi="Arial" w:cs="Arial"/>
                <w:spacing w:val="-1"/>
                <w:lang w:val="fr-FR"/>
              </w:rPr>
              <w:t>.</w:t>
            </w:r>
          </w:p>
        </w:tc>
      </w:tr>
    </w:tbl>
    <w:p w14:paraId="1254430B" w14:textId="77777777" w:rsidR="00B87AC8" w:rsidRPr="008D702B" w:rsidRDefault="00B87AC8" w:rsidP="00B87AC8">
      <w:pPr>
        <w:rPr>
          <w:lang w:val="fr-BE"/>
        </w:rPr>
      </w:pPr>
    </w:p>
    <w:sectPr w:rsidR="00B87AC8" w:rsidRPr="008D70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328A" w14:textId="77777777" w:rsidR="00C82C9B" w:rsidRDefault="00C82C9B" w:rsidP="005C11B6">
      <w:pPr>
        <w:spacing w:after="0" w:line="240" w:lineRule="auto"/>
      </w:pPr>
      <w:r>
        <w:separator/>
      </w:r>
    </w:p>
  </w:endnote>
  <w:endnote w:type="continuationSeparator" w:id="0">
    <w:p w14:paraId="36A551EF" w14:textId="77777777" w:rsidR="00C82C9B" w:rsidRDefault="00C82C9B" w:rsidP="005C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658C1393" w14:textId="77777777" w:rsidTr="002C2D50">
      <w:tc>
        <w:tcPr>
          <w:tcW w:w="4508" w:type="dxa"/>
        </w:tcPr>
        <w:p w14:paraId="7BD2172F" w14:textId="77777777" w:rsidR="002C2D50" w:rsidRDefault="002C2D50" w:rsidP="002C2D50">
          <w:pPr>
            <w:pStyle w:val="Footer"/>
            <w:jc w:val="center"/>
          </w:pPr>
          <w:r>
            <w:t>PC 116</w:t>
          </w:r>
        </w:p>
      </w:tc>
      <w:tc>
        <w:tcPr>
          <w:tcW w:w="4508" w:type="dxa"/>
        </w:tcPr>
        <w:p w14:paraId="45D05CFC" w14:textId="77777777" w:rsidR="002C2D50" w:rsidRDefault="002C2D50" w:rsidP="002C2D50">
          <w:pPr>
            <w:pStyle w:val="Footer"/>
            <w:jc w:val="center"/>
          </w:pPr>
          <w:r>
            <w:t>CP 116</w:t>
          </w:r>
        </w:p>
      </w:tc>
    </w:tr>
  </w:tbl>
  <w:p w14:paraId="49D7DB0C" w14:textId="77777777" w:rsidR="005C11B6" w:rsidRDefault="005C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62D5" w14:textId="77777777" w:rsidR="00C82C9B" w:rsidRDefault="00C82C9B" w:rsidP="005C11B6">
      <w:pPr>
        <w:spacing w:after="0" w:line="240" w:lineRule="auto"/>
      </w:pPr>
      <w:r>
        <w:separator/>
      </w:r>
    </w:p>
  </w:footnote>
  <w:footnote w:type="continuationSeparator" w:id="0">
    <w:p w14:paraId="4D287F14" w14:textId="77777777" w:rsidR="00C82C9B" w:rsidRDefault="00C82C9B" w:rsidP="005C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74EE" w14:textId="24E39B43" w:rsidR="005C11B6" w:rsidRDefault="005C11B6" w:rsidP="002C2D50">
    <w:pPr>
      <w:pStyle w:val="Header"/>
      <w:ind w:left="7230" w:firstLine="708"/>
    </w:pPr>
    <w:r>
      <w:fldChar w:fldCharType="begin"/>
    </w:r>
    <w:r>
      <w:instrText xml:space="preserve"> TIME \@ "dd/MM/yyyy" </w:instrText>
    </w:r>
    <w:r>
      <w:fldChar w:fldCharType="separate"/>
    </w:r>
    <w:r w:rsidR="00C34F4D">
      <w:rPr>
        <w:noProof/>
      </w:rPr>
      <w:t>06/09/2019</w:t>
    </w:r>
    <w: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03D2C6D6" w14:textId="77777777" w:rsidTr="002C2D50">
      <w:trPr>
        <w:jc w:val="center"/>
      </w:trPr>
      <w:tc>
        <w:tcPr>
          <w:tcW w:w="4508" w:type="dxa"/>
        </w:tcPr>
        <w:p w14:paraId="2EB1AAB3" w14:textId="77777777" w:rsidR="002C2D50" w:rsidRDefault="002C2D50" w:rsidP="002C2D50">
          <w:pPr>
            <w:pStyle w:val="Header"/>
            <w:jc w:val="center"/>
          </w:pPr>
          <w:r>
            <w:t>PC 116</w:t>
          </w:r>
        </w:p>
      </w:tc>
      <w:tc>
        <w:tcPr>
          <w:tcW w:w="4508" w:type="dxa"/>
        </w:tcPr>
        <w:p w14:paraId="70EE5F81" w14:textId="77777777" w:rsidR="002C2D50" w:rsidRDefault="002C2D50" w:rsidP="002C2D50">
          <w:pPr>
            <w:pStyle w:val="Header"/>
            <w:jc w:val="center"/>
          </w:pPr>
          <w:r>
            <w:t>CP 116</w:t>
          </w:r>
        </w:p>
      </w:tc>
    </w:tr>
  </w:tbl>
  <w:p w14:paraId="4822B3AB" w14:textId="77777777" w:rsidR="002C2D50" w:rsidRDefault="002C2D50" w:rsidP="005C11B6">
    <w:pPr>
      <w:pStyle w:val="Heade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15436"/>
    <w:multiLevelType w:val="hybridMultilevel"/>
    <w:tmpl w:val="186E8B36"/>
    <w:lvl w:ilvl="0" w:tplc="7EC6F78A">
      <w:start w:val="3"/>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B6"/>
    <w:rsid w:val="00010B48"/>
    <w:rsid w:val="00011CD2"/>
    <w:rsid w:val="00062C79"/>
    <w:rsid w:val="000A0FCE"/>
    <w:rsid w:val="00131F5B"/>
    <w:rsid w:val="001D5B41"/>
    <w:rsid w:val="00202B64"/>
    <w:rsid w:val="002C2D50"/>
    <w:rsid w:val="003628A9"/>
    <w:rsid w:val="00392270"/>
    <w:rsid w:val="004B51C8"/>
    <w:rsid w:val="004C08F5"/>
    <w:rsid w:val="005C11B6"/>
    <w:rsid w:val="006D6143"/>
    <w:rsid w:val="006F72A1"/>
    <w:rsid w:val="007328F2"/>
    <w:rsid w:val="007642DC"/>
    <w:rsid w:val="008D702B"/>
    <w:rsid w:val="008E2DAA"/>
    <w:rsid w:val="00912022"/>
    <w:rsid w:val="009466AC"/>
    <w:rsid w:val="00955F5D"/>
    <w:rsid w:val="009A1473"/>
    <w:rsid w:val="009B6F44"/>
    <w:rsid w:val="009F3498"/>
    <w:rsid w:val="009F71B4"/>
    <w:rsid w:val="00AD5A30"/>
    <w:rsid w:val="00B1164E"/>
    <w:rsid w:val="00B201DE"/>
    <w:rsid w:val="00B87AC8"/>
    <w:rsid w:val="00BF22EC"/>
    <w:rsid w:val="00C15BDD"/>
    <w:rsid w:val="00C263FA"/>
    <w:rsid w:val="00C34F4D"/>
    <w:rsid w:val="00C82C9B"/>
    <w:rsid w:val="00D40C05"/>
    <w:rsid w:val="00EA5D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2E4EF"/>
  <w15:chartTrackingRefBased/>
  <w15:docId w15:val="{E806F011-8094-4510-8C71-155AC964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1B6"/>
  </w:style>
  <w:style w:type="paragraph" w:styleId="Footer">
    <w:name w:val="footer"/>
    <w:basedOn w:val="Normal"/>
    <w:link w:val="FooterChar"/>
    <w:uiPriority w:val="99"/>
    <w:unhideWhenUsed/>
    <w:rsid w:val="005C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1B6"/>
  </w:style>
  <w:style w:type="table" w:styleId="TableGrid">
    <w:name w:val="Table Grid"/>
    <w:basedOn w:val="TableNormal"/>
    <w:uiPriority w:val="39"/>
    <w:rsid w:val="002C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8D702B"/>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8D702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3628A9"/>
    <w:pPr>
      <w:ind w:left="720"/>
      <w:contextualSpacing/>
    </w:pPr>
  </w:style>
  <w:style w:type="character" w:styleId="CommentReference">
    <w:name w:val="annotation reference"/>
    <w:basedOn w:val="DefaultParagraphFont"/>
    <w:uiPriority w:val="99"/>
    <w:semiHidden/>
    <w:unhideWhenUsed/>
    <w:rsid w:val="007328F2"/>
    <w:rPr>
      <w:sz w:val="16"/>
      <w:szCs w:val="16"/>
    </w:rPr>
  </w:style>
  <w:style w:type="paragraph" w:styleId="CommentText">
    <w:name w:val="annotation text"/>
    <w:basedOn w:val="Normal"/>
    <w:link w:val="CommentTextChar"/>
    <w:uiPriority w:val="99"/>
    <w:semiHidden/>
    <w:unhideWhenUsed/>
    <w:rsid w:val="007328F2"/>
    <w:pPr>
      <w:spacing w:line="240" w:lineRule="auto"/>
    </w:pPr>
    <w:rPr>
      <w:sz w:val="20"/>
      <w:szCs w:val="20"/>
    </w:rPr>
  </w:style>
  <w:style w:type="character" w:customStyle="1" w:styleId="CommentTextChar">
    <w:name w:val="Comment Text Char"/>
    <w:basedOn w:val="DefaultParagraphFont"/>
    <w:link w:val="CommentText"/>
    <w:uiPriority w:val="99"/>
    <w:semiHidden/>
    <w:rsid w:val="007328F2"/>
    <w:rPr>
      <w:sz w:val="20"/>
      <w:szCs w:val="20"/>
    </w:rPr>
  </w:style>
  <w:style w:type="paragraph" w:styleId="CommentSubject">
    <w:name w:val="annotation subject"/>
    <w:basedOn w:val="CommentText"/>
    <w:next w:val="CommentText"/>
    <w:link w:val="CommentSubjectChar"/>
    <w:uiPriority w:val="99"/>
    <w:semiHidden/>
    <w:unhideWhenUsed/>
    <w:rsid w:val="007328F2"/>
    <w:rPr>
      <w:b/>
      <w:bCs/>
    </w:rPr>
  </w:style>
  <w:style w:type="character" w:customStyle="1" w:styleId="CommentSubjectChar">
    <w:name w:val="Comment Subject Char"/>
    <w:basedOn w:val="CommentTextChar"/>
    <w:link w:val="CommentSubject"/>
    <w:uiPriority w:val="99"/>
    <w:semiHidden/>
    <w:rsid w:val="007328F2"/>
    <w:rPr>
      <w:b/>
      <w:bCs/>
      <w:sz w:val="20"/>
      <w:szCs w:val="20"/>
    </w:rPr>
  </w:style>
  <w:style w:type="paragraph" w:styleId="BalloonText">
    <w:name w:val="Balloon Text"/>
    <w:basedOn w:val="Normal"/>
    <w:link w:val="BalloonTextChar"/>
    <w:uiPriority w:val="99"/>
    <w:semiHidden/>
    <w:unhideWhenUsed/>
    <w:rsid w:val="00732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H5V3KTAJNDA7-2081374523-83</_dlc_DocId>
    <_dlc_DocIdUrl xmlns="7a71c6a2-1dcc-4d08-a675-e7180ebb1993">
      <Url>https://essenscia.sharepoint.com/teams/social/_layouts/15/DocIdRedir.aspx?ID=H5V3KTAJNDA7-2081374523-83</Url>
      <Description>H5V3KTAJNDA7-2081374523-83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EFD5-32DB-4B3C-B841-085FE0D4E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FA3D2-4A78-4F0D-B594-49C5F110F5BB}">
  <ds:schemaRefs>
    <ds:schemaRef ds:uri="http://schemas.microsoft.com/office/infopath/2007/PartnerControls"/>
    <ds:schemaRef ds:uri="http://purl.org/dc/terms/"/>
    <ds:schemaRef ds:uri="d6ecb3f0-1269-4e5a-bb13-eb0c941ac898"/>
    <ds:schemaRef ds:uri="7a71c6a2-1dcc-4d08-a675-e7180ebb199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F4B3FDC-D41B-412A-9245-8BDD9DD202E3}">
  <ds:schemaRefs>
    <ds:schemaRef ds:uri="http://schemas.microsoft.com/sharepoint/v3/contenttype/forms"/>
  </ds:schemaRefs>
</ds:datastoreItem>
</file>

<file path=customXml/itemProps4.xml><?xml version="1.0" encoding="utf-8"?>
<ds:datastoreItem xmlns:ds="http://schemas.openxmlformats.org/officeDocument/2006/customXml" ds:itemID="{4ADE6D80-3DF1-4363-B445-464494AC3B81}">
  <ds:schemaRefs>
    <ds:schemaRef ds:uri="http://schemas.microsoft.com/sharepoint/events"/>
  </ds:schemaRefs>
</ds:datastoreItem>
</file>

<file path=customXml/itemProps5.xml><?xml version="1.0" encoding="utf-8"?>
<ds:datastoreItem xmlns:ds="http://schemas.openxmlformats.org/officeDocument/2006/customXml" ds:itemID="{2A81BC9E-C4D9-4F66-AA1A-860B1571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3</cp:revision>
  <dcterms:created xsi:type="dcterms:W3CDTF">2019-09-06T10:17:00Z</dcterms:created>
  <dcterms:modified xsi:type="dcterms:W3CDTF">2019-09-06T13:23:00Z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4d210319-cae8-4bba-a599-859ac2e372a9</vt:lpwstr>
  </property>
</Properties>
</file>